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CFF9" w14:textId="14D5D83B" w:rsidR="00584A88" w:rsidRPr="006F4351" w:rsidRDefault="00584A88" w:rsidP="00584A88">
      <w:pPr>
        <w:jc w:val="center"/>
        <w:rPr>
          <w:b/>
          <w:bCs/>
          <w:sz w:val="40"/>
          <w:szCs w:val="40"/>
          <w:u w:val="single"/>
        </w:rPr>
      </w:pPr>
      <w:r w:rsidRPr="006F4351">
        <w:rPr>
          <w:b/>
          <w:bCs/>
          <w:sz w:val="40"/>
          <w:szCs w:val="40"/>
          <w:u w:val="single"/>
        </w:rPr>
        <w:t xml:space="preserve">Compensation for </w:t>
      </w:r>
      <w:r w:rsidR="00BE7C8F" w:rsidRPr="006F4351">
        <w:rPr>
          <w:b/>
          <w:bCs/>
          <w:sz w:val="40"/>
          <w:szCs w:val="40"/>
          <w:u w:val="single"/>
        </w:rPr>
        <w:t xml:space="preserve">Newly Ordained </w:t>
      </w:r>
      <w:r w:rsidRPr="006F4351">
        <w:rPr>
          <w:b/>
          <w:bCs/>
          <w:sz w:val="40"/>
          <w:szCs w:val="40"/>
          <w:u w:val="single"/>
        </w:rPr>
        <w:t>Deacons and Priests</w:t>
      </w:r>
    </w:p>
    <w:p w14:paraId="53A555A3" w14:textId="731FC661" w:rsidR="00857116" w:rsidRDefault="00584A88" w:rsidP="00780B83">
      <w:r>
        <w:t>This information pertains to the pay</w:t>
      </w:r>
      <w:r w:rsidR="00887F71">
        <w:t xml:space="preserve"> and benefit</w:t>
      </w:r>
      <w:r>
        <w:t xml:space="preserve"> schedules for </w:t>
      </w:r>
      <w:r w:rsidR="004F5075">
        <w:t>Configuration III (</w:t>
      </w:r>
      <w:r>
        <w:t>Theology III</w:t>
      </w:r>
      <w:r w:rsidR="004F5075">
        <w:t>)</w:t>
      </w:r>
      <w:r>
        <w:t xml:space="preserve"> seminarians to be ordained as transitional deacons and</w:t>
      </w:r>
      <w:r w:rsidR="004F5075">
        <w:t xml:space="preserve"> </w:t>
      </w:r>
      <w:r>
        <w:t>transitional deacons</w:t>
      </w:r>
      <w:r w:rsidR="00723A4D">
        <w:t xml:space="preserve"> in the Vocational Synthesis</w:t>
      </w:r>
      <w:r>
        <w:t xml:space="preserve"> </w:t>
      </w:r>
      <w:r w:rsidR="00887F71">
        <w:t xml:space="preserve">Stage </w:t>
      </w:r>
      <w:r w:rsidR="007A0B11">
        <w:t xml:space="preserve">(Theology IV) </w:t>
      </w:r>
      <w:r>
        <w:t xml:space="preserve">to be ordained as priests. </w:t>
      </w:r>
    </w:p>
    <w:p w14:paraId="56DFEABC" w14:textId="753716B5" w:rsidR="00584A88" w:rsidRPr="006F4351" w:rsidRDefault="007A0B11" w:rsidP="00584A88">
      <w:pPr>
        <w:rPr>
          <w:sz w:val="32"/>
          <w:szCs w:val="32"/>
        </w:rPr>
      </w:pPr>
      <w:r w:rsidRPr="006F4351">
        <w:rPr>
          <w:sz w:val="32"/>
          <w:szCs w:val="32"/>
        </w:rPr>
        <w:t>Configuration III</w:t>
      </w:r>
      <w:r w:rsidR="004B3039">
        <w:rPr>
          <w:sz w:val="32"/>
          <w:szCs w:val="32"/>
        </w:rPr>
        <w:t xml:space="preserve"> and Vocational Synthesis</w:t>
      </w:r>
      <w:r w:rsidR="00584A88" w:rsidRPr="006F4351">
        <w:rPr>
          <w:sz w:val="32"/>
          <w:szCs w:val="32"/>
        </w:rPr>
        <w:t xml:space="preserve"> </w:t>
      </w:r>
      <w:r w:rsidRPr="006F4351">
        <w:rPr>
          <w:sz w:val="32"/>
          <w:szCs w:val="32"/>
        </w:rPr>
        <w:t xml:space="preserve">St. Louis </w:t>
      </w:r>
      <w:r w:rsidR="006F4351">
        <w:rPr>
          <w:sz w:val="32"/>
          <w:szCs w:val="32"/>
        </w:rPr>
        <w:t>S</w:t>
      </w:r>
      <w:r w:rsidR="00584A88" w:rsidRPr="006F4351">
        <w:rPr>
          <w:sz w:val="32"/>
          <w:szCs w:val="32"/>
        </w:rPr>
        <w:t xml:space="preserve">eminarian </w:t>
      </w:r>
      <w:r w:rsidR="00FD59D5">
        <w:rPr>
          <w:sz w:val="32"/>
          <w:szCs w:val="32"/>
        </w:rPr>
        <w:t>Stipend/Salary</w:t>
      </w:r>
      <w:r w:rsidR="004B3039">
        <w:rPr>
          <w:sz w:val="32"/>
          <w:szCs w:val="32"/>
        </w:rPr>
        <w:t>:</w:t>
      </w:r>
    </w:p>
    <w:tbl>
      <w:tblPr>
        <w:tblStyle w:val="TableGrid"/>
        <w:tblW w:w="0" w:type="auto"/>
        <w:tblLook w:val="04A0" w:firstRow="1" w:lastRow="0" w:firstColumn="1" w:lastColumn="0" w:noHBand="0" w:noVBand="1"/>
      </w:tblPr>
      <w:tblGrid>
        <w:gridCol w:w="3325"/>
        <w:gridCol w:w="3060"/>
        <w:gridCol w:w="2965"/>
      </w:tblGrid>
      <w:tr w:rsidR="00584A88" w14:paraId="32AE8FDC" w14:textId="77777777" w:rsidTr="004E374D">
        <w:tc>
          <w:tcPr>
            <w:tcW w:w="3325" w:type="dxa"/>
          </w:tcPr>
          <w:p w14:paraId="673D24AE" w14:textId="77777777" w:rsidR="00584A88" w:rsidRPr="0046046F" w:rsidRDefault="00584A88" w:rsidP="00736D19">
            <w:pPr>
              <w:jc w:val="center"/>
              <w:rPr>
                <w:sz w:val="28"/>
                <w:szCs w:val="28"/>
              </w:rPr>
            </w:pPr>
            <w:r w:rsidRPr="0046046F">
              <w:rPr>
                <w:sz w:val="28"/>
                <w:szCs w:val="28"/>
              </w:rPr>
              <w:t>Time Period</w:t>
            </w:r>
          </w:p>
        </w:tc>
        <w:tc>
          <w:tcPr>
            <w:tcW w:w="3060" w:type="dxa"/>
          </w:tcPr>
          <w:p w14:paraId="2FB5271D" w14:textId="77777777" w:rsidR="00584A88" w:rsidRPr="0046046F" w:rsidRDefault="00584A88" w:rsidP="00736D19">
            <w:pPr>
              <w:jc w:val="center"/>
              <w:rPr>
                <w:sz w:val="28"/>
                <w:szCs w:val="28"/>
              </w:rPr>
            </w:pPr>
            <w:r w:rsidRPr="0046046F">
              <w:rPr>
                <w:sz w:val="28"/>
                <w:szCs w:val="28"/>
              </w:rPr>
              <w:t>Amount</w:t>
            </w:r>
          </w:p>
        </w:tc>
        <w:tc>
          <w:tcPr>
            <w:tcW w:w="2965" w:type="dxa"/>
          </w:tcPr>
          <w:p w14:paraId="4A26198A" w14:textId="6E7103FF" w:rsidR="00584A88" w:rsidRPr="0046046F" w:rsidRDefault="00584A88" w:rsidP="00736D19">
            <w:pPr>
              <w:jc w:val="center"/>
              <w:rPr>
                <w:sz w:val="28"/>
                <w:szCs w:val="28"/>
              </w:rPr>
            </w:pPr>
            <w:r w:rsidRPr="0046046F">
              <w:rPr>
                <w:sz w:val="28"/>
                <w:szCs w:val="28"/>
              </w:rPr>
              <w:t>Paid By</w:t>
            </w:r>
          </w:p>
        </w:tc>
      </w:tr>
      <w:tr w:rsidR="00584A88" w14:paraId="4D2D3AAE" w14:textId="77777777" w:rsidTr="004E374D">
        <w:tc>
          <w:tcPr>
            <w:tcW w:w="3325" w:type="dxa"/>
          </w:tcPr>
          <w:p w14:paraId="6DD1C4C2" w14:textId="4EE5AC12" w:rsidR="00584A88" w:rsidRPr="0046046F" w:rsidRDefault="00D33939" w:rsidP="00D33939">
            <w:r>
              <w:t>Before Ordination</w:t>
            </w:r>
          </w:p>
        </w:tc>
        <w:tc>
          <w:tcPr>
            <w:tcW w:w="3060" w:type="dxa"/>
          </w:tcPr>
          <w:p w14:paraId="23763E84" w14:textId="672DAD7D" w:rsidR="00584A88" w:rsidRPr="0046046F" w:rsidRDefault="00584A88" w:rsidP="0026004B">
            <w:r w:rsidRPr="0046046F">
              <w:t>$350</w:t>
            </w:r>
            <w:r w:rsidR="00DA6F41">
              <w:rPr>
                <w:rStyle w:val="FootnoteReference"/>
              </w:rPr>
              <w:footnoteReference w:id="1"/>
            </w:r>
            <w:r w:rsidRPr="0046046F">
              <w:t xml:space="preserve"> </w:t>
            </w:r>
            <w:r w:rsidR="00704BFA">
              <w:t xml:space="preserve">Stipend </w:t>
            </w:r>
            <w:r w:rsidRPr="0046046F">
              <w:t>per month</w:t>
            </w:r>
          </w:p>
        </w:tc>
        <w:tc>
          <w:tcPr>
            <w:tcW w:w="2965" w:type="dxa"/>
          </w:tcPr>
          <w:p w14:paraId="2DBD2B27" w14:textId="1CA43A83" w:rsidR="00584A88" w:rsidRDefault="00DC121A" w:rsidP="0026004B">
            <w:r>
              <w:t>Vocation Office</w:t>
            </w:r>
          </w:p>
        </w:tc>
      </w:tr>
      <w:tr w:rsidR="009A0A5C" w14:paraId="5E3667A2" w14:textId="77777777" w:rsidTr="0035561B">
        <w:tc>
          <w:tcPr>
            <w:tcW w:w="9350" w:type="dxa"/>
            <w:gridSpan w:val="3"/>
          </w:tcPr>
          <w:p w14:paraId="2F72B27E" w14:textId="6FC6AFBC" w:rsidR="009A0A5C" w:rsidRPr="009A0A5C" w:rsidRDefault="009A0A5C" w:rsidP="00A948EB">
            <w:pPr>
              <w:spacing w:before="120" w:after="120"/>
              <w:jc w:val="center"/>
              <w:rPr>
                <w:b/>
                <w:bCs/>
              </w:rPr>
            </w:pPr>
            <w:r w:rsidRPr="009A0A5C">
              <w:rPr>
                <w:b/>
                <w:bCs/>
              </w:rPr>
              <w:t>Diaconate Ordination</w:t>
            </w:r>
          </w:p>
        </w:tc>
      </w:tr>
      <w:tr w:rsidR="0062253A" w14:paraId="3187A372" w14:textId="77777777" w:rsidTr="004E374D">
        <w:tc>
          <w:tcPr>
            <w:tcW w:w="3325" w:type="dxa"/>
          </w:tcPr>
          <w:p w14:paraId="1562CA89" w14:textId="19ECE238" w:rsidR="0062253A" w:rsidRDefault="0062253A" w:rsidP="0062253A">
            <w:r>
              <w:t>June-July</w:t>
            </w:r>
            <w:r w:rsidR="005E213A">
              <w:t xml:space="preserve"> (2 months)</w:t>
            </w:r>
          </w:p>
        </w:tc>
        <w:tc>
          <w:tcPr>
            <w:tcW w:w="3060" w:type="dxa"/>
          </w:tcPr>
          <w:p w14:paraId="0A009861" w14:textId="1863869B" w:rsidR="0062253A" w:rsidRDefault="0062253A" w:rsidP="0062253A">
            <w:r w:rsidRPr="006102BD">
              <w:t>2/3rds of Priest Salary</w:t>
            </w:r>
          </w:p>
        </w:tc>
        <w:tc>
          <w:tcPr>
            <w:tcW w:w="2965" w:type="dxa"/>
          </w:tcPr>
          <w:p w14:paraId="53E273F7" w14:textId="04C6C012" w:rsidR="0062253A" w:rsidRPr="00D53B09" w:rsidRDefault="0062253A" w:rsidP="0062253A">
            <w:r>
              <w:t>Parish of Assignment</w:t>
            </w:r>
          </w:p>
        </w:tc>
      </w:tr>
      <w:tr w:rsidR="0062253A" w14:paraId="7B9D20B2" w14:textId="77777777" w:rsidTr="004E374D">
        <w:tc>
          <w:tcPr>
            <w:tcW w:w="3325" w:type="dxa"/>
          </w:tcPr>
          <w:p w14:paraId="4BBBA1D4" w14:textId="7C2736C7" w:rsidR="0062253A" w:rsidRDefault="00471531" w:rsidP="0062253A">
            <w:r>
              <w:t>August</w:t>
            </w:r>
            <w:r w:rsidR="0062253A">
              <w:t xml:space="preserve"> – January 14</w:t>
            </w:r>
            <w:r w:rsidR="0062253A" w:rsidRPr="005D7A29">
              <w:rPr>
                <w:vertAlign w:val="superscript"/>
              </w:rPr>
              <w:t>th</w:t>
            </w:r>
            <w:r w:rsidR="0062253A">
              <w:t xml:space="preserve"> </w:t>
            </w:r>
            <w:r w:rsidR="005E213A">
              <w:t>(</w:t>
            </w:r>
            <w:r w:rsidR="004E374D">
              <w:t>5.5 months)</w:t>
            </w:r>
          </w:p>
        </w:tc>
        <w:tc>
          <w:tcPr>
            <w:tcW w:w="3060" w:type="dxa"/>
          </w:tcPr>
          <w:p w14:paraId="783C2179" w14:textId="23712CD3" w:rsidR="0062253A" w:rsidRPr="006102BD" w:rsidRDefault="0062253A" w:rsidP="0062253A">
            <w:r w:rsidRPr="006102BD">
              <w:t>$</w:t>
            </w:r>
            <w:r w:rsidR="00CA7BF5">
              <w:t>75</w:t>
            </w:r>
            <w:r w:rsidRPr="006102BD">
              <w:t>0</w:t>
            </w:r>
            <w:r w:rsidR="00893AAB">
              <w:fldChar w:fldCharType="begin"/>
            </w:r>
            <w:r w:rsidR="00893AAB">
              <w:instrText xml:space="preserve"> NOTEREF _Ref209597690 \f \h </w:instrText>
            </w:r>
            <w:r w:rsidR="00893AAB">
              <w:fldChar w:fldCharType="separate"/>
            </w:r>
            <w:r w:rsidR="00893AAB" w:rsidRPr="00893AAB">
              <w:rPr>
                <w:rStyle w:val="FootnoteReference"/>
              </w:rPr>
              <w:t>2</w:t>
            </w:r>
            <w:r w:rsidR="00893AAB">
              <w:fldChar w:fldCharType="end"/>
            </w:r>
            <w:r w:rsidRPr="006102BD">
              <w:t xml:space="preserve"> </w:t>
            </w:r>
            <w:r w:rsidR="00704BFA">
              <w:t xml:space="preserve">Stipend </w:t>
            </w:r>
            <w:r w:rsidRPr="006102BD">
              <w:t>per month</w:t>
            </w:r>
          </w:p>
        </w:tc>
        <w:tc>
          <w:tcPr>
            <w:tcW w:w="2965" w:type="dxa"/>
          </w:tcPr>
          <w:p w14:paraId="35DD0888" w14:textId="6760B107" w:rsidR="0062253A" w:rsidRPr="006102BD" w:rsidRDefault="0062253A" w:rsidP="0062253A">
            <w:r>
              <w:t>Vocation Office</w:t>
            </w:r>
          </w:p>
        </w:tc>
      </w:tr>
      <w:tr w:rsidR="0062253A" w14:paraId="720CB4F9" w14:textId="77777777" w:rsidTr="004E374D">
        <w:tc>
          <w:tcPr>
            <w:tcW w:w="3325" w:type="dxa"/>
          </w:tcPr>
          <w:p w14:paraId="479728F5" w14:textId="0AE9FE52" w:rsidR="0062253A" w:rsidRDefault="0062253A" w:rsidP="0062253A">
            <w:r>
              <w:t>January 15</w:t>
            </w:r>
            <w:r w:rsidRPr="005D7A29">
              <w:rPr>
                <w:vertAlign w:val="superscript"/>
              </w:rPr>
              <w:t>th</w:t>
            </w:r>
            <w:r>
              <w:t xml:space="preserve"> – May</w:t>
            </w:r>
            <w:r w:rsidR="00CA18A4">
              <w:t xml:space="preserve"> (4.5 months)</w:t>
            </w:r>
          </w:p>
        </w:tc>
        <w:tc>
          <w:tcPr>
            <w:tcW w:w="3060" w:type="dxa"/>
          </w:tcPr>
          <w:p w14:paraId="0D0B24D6" w14:textId="5C50A31C" w:rsidR="0062253A" w:rsidRPr="006102BD" w:rsidRDefault="0062253A" w:rsidP="0062253A">
            <w:r w:rsidRPr="006102BD">
              <w:t>2/3rds of Priest Salary</w:t>
            </w:r>
          </w:p>
        </w:tc>
        <w:tc>
          <w:tcPr>
            <w:tcW w:w="2965" w:type="dxa"/>
          </w:tcPr>
          <w:p w14:paraId="7F90D372" w14:textId="3A1B48E5" w:rsidR="0062253A" w:rsidRPr="006102BD" w:rsidRDefault="0062253A" w:rsidP="0062253A">
            <w:r w:rsidRPr="006102BD">
              <w:t xml:space="preserve">Parish of </w:t>
            </w:r>
            <w:r>
              <w:t>A</w:t>
            </w:r>
            <w:r w:rsidRPr="006102BD">
              <w:t>ssignment</w:t>
            </w:r>
          </w:p>
        </w:tc>
      </w:tr>
      <w:tr w:rsidR="0062253A" w14:paraId="22D7018D" w14:textId="77777777" w:rsidTr="007A326F">
        <w:tc>
          <w:tcPr>
            <w:tcW w:w="9350" w:type="dxa"/>
            <w:gridSpan w:val="3"/>
          </w:tcPr>
          <w:p w14:paraId="6BA7E3B2" w14:textId="685CAC10" w:rsidR="0062253A" w:rsidRPr="00BE7C8F" w:rsidRDefault="0062253A" w:rsidP="0062253A">
            <w:pPr>
              <w:spacing w:before="120" w:after="120"/>
              <w:jc w:val="center"/>
              <w:rPr>
                <w:i/>
                <w:iCs/>
                <w:u w:val="single"/>
              </w:rPr>
            </w:pPr>
            <w:r>
              <w:rPr>
                <w:b/>
                <w:bCs/>
              </w:rPr>
              <w:t>Priesthood</w:t>
            </w:r>
            <w:r w:rsidRPr="009A0A5C">
              <w:rPr>
                <w:b/>
                <w:bCs/>
              </w:rPr>
              <w:t xml:space="preserve"> Ordination</w:t>
            </w:r>
          </w:p>
        </w:tc>
      </w:tr>
      <w:tr w:rsidR="0062253A" w14:paraId="03CF11C7" w14:textId="77777777" w:rsidTr="004E374D">
        <w:tc>
          <w:tcPr>
            <w:tcW w:w="3325" w:type="dxa"/>
          </w:tcPr>
          <w:p w14:paraId="5680DF9E" w14:textId="496FE4F6" w:rsidR="0062253A" w:rsidRDefault="0062253A" w:rsidP="0062253A">
            <w:r>
              <w:t>June</w:t>
            </w:r>
          </w:p>
        </w:tc>
        <w:tc>
          <w:tcPr>
            <w:tcW w:w="3060" w:type="dxa"/>
          </w:tcPr>
          <w:p w14:paraId="290F93D4" w14:textId="4EEAC66D" w:rsidR="0062253A" w:rsidRPr="00EC1136" w:rsidRDefault="00CA18A4" w:rsidP="0062253A">
            <w:pPr>
              <w:rPr>
                <w:i/>
                <w:iCs/>
                <w:u w:val="single"/>
              </w:rPr>
            </w:pPr>
            <w:r>
              <w:t>P</w:t>
            </w:r>
            <w:r w:rsidR="0062253A">
              <w:t>riest salary</w:t>
            </w:r>
          </w:p>
        </w:tc>
        <w:tc>
          <w:tcPr>
            <w:tcW w:w="2965" w:type="dxa"/>
          </w:tcPr>
          <w:p w14:paraId="55A70747" w14:textId="3FA9E8D6" w:rsidR="0062253A" w:rsidRPr="00BE7C8F" w:rsidRDefault="0062253A" w:rsidP="0062253A">
            <w:pPr>
              <w:rPr>
                <w:i/>
                <w:iCs/>
                <w:u w:val="single"/>
              </w:rPr>
            </w:pPr>
            <w:r>
              <w:t>PMBS</w:t>
            </w:r>
          </w:p>
        </w:tc>
      </w:tr>
      <w:tr w:rsidR="0062253A" w14:paraId="5B116251" w14:textId="77777777" w:rsidTr="004E374D">
        <w:tc>
          <w:tcPr>
            <w:tcW w:w="3325" w:type="dxa"/>
          </w:tcPr>
          <w:p w14:paraId="72D57F35" w14:textId="001DC842" w:rsidR="0062253A" w:rsidRDefault="0062253A" w:rsidP="0062253A">
            <w:r>
              <w:t xml:space="preserve">July and </w:t>
            </w:r>
            <w:proofErr w:type="gramStart"/>
            <w:r>
              <w:t>Onwards</w:t>
            </w:r>
            <w:proofErr w:type="gramEnd"/>
          </w:p>
        </w:tc>
        <w:tc>
          <w:tcPr>
            <w:tcW w:w="3060" w:type="dxa"/>
          </w:tcPr>
          <w:p w14:paraId="037E0387" w14:textId="6F2DF64D" w:rsidR="0062253A" w:rsidRDefault="0062253A" w:rsidP="0062253A">
            <w:r>
              <w:t>Priest Salary</w:t>
            </w:r>
          </w:p>
        </w:tc>
        <w:tc>
          <w:tcPr>
            <w:tcW w:w="2965" w:type="dxa"/>
          </w:tcPr>
          <w:p w14:paraId="1459FB7B" w14:textId="3A72DA79" w:rsidR="0062253A" w:rsidRDefault="0062253A" w:rsidP="0062253A">
            <w:r>
              <w:t>Parish of Assignment</w:t>
            </w:r>
          </w:p>
        </w:tc>
      </w:tr>
    </w:tbl>
    <w:p w14:paraId="4F7E3CD2" w14:textId="77777777" w:rsidR="00584A88" w:rsidRDefault="00584A88" w:rsidP="0059614E">
      <w:pPr>
        <w:spacing w:after="0"/>
      </w:pPr>
    </w:p>
    <w:p w14:paraId="1AD70C00" w14:textId="77777777" w:rsidR="005C4607" w:rsidRDefault="00584A88" w:rsidP="00857116">
      <w:pPr>
        <w:pStyle w:val="ListParagraph"/>
        <w:numPr>
          <w:ilvl w:val="0"/>
          <w:numId w:val="5"/>
        </w:numPr>
      </w:pPr>
      <w:r>
        <w:t>N</w:t>
      </w:r>
      <w:r w:rsidR="005C4607">
        <w:t>otes:</w:t>
      </w:r>
    </w:p>
    <w:p w14:paraId="27792FB6" w14:textId="10189C46" w:rsidR="00512146" w:rsidRDefault="00512146" w:rsidP="00512146">
      <w:pPr>
        <w:pStyle w:val="ListParagraph"/>
        <w:numPr>
          <w:ilvl w:val="1"/>
          <w:numId w:val="5"/>
        </w:numPr>
      </w:pPr>
      <w:r>
        <w:t>Compensation for Transitional Deacons will transfer from the Vocation Office to the Parish of Assignment on January 15</w:t>
      </w:r>
      <w:r w:rsidRPr="00EC7D16">
        <w:rPr>
          <w:vertAlign w:val="superscript"/>
        </w:rPr>
        <w:t>th</w:t>
      </w:r>
      <w:r>
        <w:t xml:space="preserve"> </w:t>
      </w:r>
      <w:r w:rsidR="007331CB">
        <w:t>(</w:t>
      </w:r>
      <w:r>
        <w:t xml:space="preserve">after </w:t>
      </w:r>
      <w:r w:rsidR="00B81A2F">
        <w:t>Deacons</w:t>
      </w:r>
      <w:r>
        <w:t xml:space="preserve"> finish the J-term</w:t>
      </w:r>
      <w:r w:rsidR="007331CB">
        <w:t>)</w:t>
      </w:r>
      <w:r>
        <w:t xml:space="preserve">.  </w:t>
      </w:r>
    </w:p>
    <w:p w14:paraId="49BF68C0" w14:textId="50B5486A" w:rsidR="004F3A61" w:rsidRDefault="00584A88" w:rsidP="005C4607">
      <w:pPr>
        <w:pStyle w:val="ListParagraph"/>
        <w:numPr>
          <w:ilvl w:val="1"/>
          <w:numId w:val="5"/>
        </w:numPr>
      </w:pPr>
      <w:r>
        <w:t xml:space="preserve">Beginning July 1, </w:t>
      </w:r>
      <w:r w:rsidR="00EC77CA">
        <w:t>newly ordained priests</w:t>
      </w:r>
      <w:r>
        <w:t xml:space="preserve"> will receive a priest salary from their parish of assignment, with the applicable fiscal year increase. </w:t>
      </w:r>
    </w:p>
    <w:p w14:paraId="40DB2B14" w14:textId="743479F0" w:rsidR="004F3A61" w:rsidRDefault="00B25A37" w:rsidP="0059614E">
      <w:pPr>
        <w:pStyle w:val="ListParagraph"/>
        <w:numPr>
          <w:ilvl w:val="1"/>
          <w:numId w:val="5"/>
        </w:numPr>
        <w:spacing w:after="0"/>
      </w:pPr>
      <w:r>
        <w:t xml:space="preserve">A parish should not be excluded from being assigned a </w:t>
      </w:r>
      <w:r w:rsidR="00594C7B">
        <w:t>Transitional Deacon</w:t>
      </w:r>
      <w:r>
        <w:t xml:space="preserve"> </w:t>
      </w:r>
      <w:r w:rsidR="00BF7CC6">
        <w:t>because of financial need.  If salary</w:t>
      </w:r>
      <w:r w:rsidR="00E60C4B">
        <w:t xml:space="preserve"> and benefit costs</w:t>
      </w:r>
      <w:r w:rsidR="00404DF8">
        <w:t xml:space="preserve"> for a Transitional Deacon</w:t>
      </w:r>
      <w:r w:rsidR="00E60C4B">
        <w:t xml:space="preserve"> </w:t>
      </w:r>
      <w:r w:rsidR="00404DF8">
        <w:t>would be</w:t>
      </w:r>
      <w:r w:rsidR="00613811">
        <w:t xml:space="preserve"> too</w:t>
      </w:r>
      <w:r w:rsidR="00BF7CC6">
        <w:t xml:space="preserve"> burdensome on a parish, a</w:t>
      </w:r>
      <w:r w:rsidR="00594C7B">
        <w:t xml:space="preserve"> </w:t>
      </w:r>
      <w:r w:rsidR="000328F7">
        <w:t>grant will be issued from the Vocation Office</w:t>
      </w:r>
      <w:r w:rsidR="001C3CFC">
        <w:t xml:space="preserve"> to the parish of assignment.  Grant amounts should be determined before the beginning of the assignment</w:t>
      </w:r>
      <w:r w:rsidR="00630EE5">
        <w:t xml:space="preserve"> </w:t>
      </w:r>
      <w:r w:rsidR="002B4AE8">
        <w:t>proportionate</w:t>
      </w:r>
      <w:r w:rsidR="009D66D9">
        <w:t xml:space="preserve"> to the parish’s financial </w:t>
      </w:r>
      <w:r w:rsidR="002B4AE8">
        <w:t>need</w:t>
      </w:r>
      <w:r w:rsidR="009D66D9">
        <w:t xml:space="preserve">.  </w:t>
      </w:r>
    </w:p>
    <w:p w14:paraId="3002AF73" w14:textId="77777777" w:rsidR="00857116" w:rsidRDefault="00857116" w:rsidP="00114E7F">
      <w:pPr>
        <w:spacing w:after="0"/>
        <w:rPr>
          <w:u w:val="single"/>
        </w:rPr>
      </w:pPr>
    </w:p>
    <w:p w14:paraId="2B1B004E" w14:textId="30FCAA33" w:rsidR="00584A88" w:rsidRPr="00857116" w:rsidRDefault="00212BFB" w:rsidP="00584A88">
      <w:pPr>
        <w:rPr>
          <w:sz w:val="32"/>
          <w:szCs w:val="32"/>
        </w:rPr>
      </w:pPr>
      <w:r>
        <w:rPr>
          <w:sz w:val="32"/>
          <w:szCs w:val="32"/>
        </w:rPr>
        <w:t>Transitional D</w:t>
      </w:r>
      <w:r w:rsidR="00584A88" w:rsidRPr="00857116">
        <w:rPr>
          <w:sz w:val="32"/>
          <w:szCs w:val="32"/>
        </w:rPr>
        <w:t>eacons from Sending Dioceses</w:t>
      </w:r>
      <w:r w:rsidR="0002156F">
        <w:rPr>
          <w:sz w:val="32"/>
          <w:szCs w:val="32"/>
        </w:rPr>
        <w:t xml:space="preserve"> (Non-St. Louis </w:t>
      </w:r>
      <w:r>
        <w:rPr>
          <w:sz w:val="32"/>
          <w:szCs w:val="32"/>
        </w:rPr>
        <w:t>Deacons)</w:t>
      </w:r>
    </w:p>
    <w:p w14:paraId="5270CBF0" w14:textId="3DF31102" w:rsidR="00BE7C8F" w:rsidRDefault="00B81A2F" w:rsidP="005A63AC">
      <w:pPr>
        <w:pStyle w:val="ListParagraph"/>
        <w:numPr>
          <w:ilvl w:val="0"/>
          <w:numId w:val="4"/>
        </w:numPr>
      </w:pPr>
      <w:r>
        <w:t>If a deacon is assigned to a parish in the Archdiocese of St. Louis, he will receive</w:t>
      </w:r>
      <w:r w:rsidR="00C66EAD">
        <w:t xml:space="preserve"> a stipend of</w:t>
      </w:r>
      <w:r>
        <w:t xml:space="preserve"> </w:t>
      </w:r>
      <w:r w:rsidRPr="00BE7C8F">
        <w:t>$</w:t>
      </w:r>
      <w:r w:rsidR="00CA7BF5">
        <w:t>7</w:t>
      </w:r>
      <w:r w:rsidRPr="00BE7C8F">
        <w:t>50</w:t>
      </w:r>
      <w:bookmarkStart w:id="0" w:name="_Ref209597690"/>
      <w:r w:rsidR="00704EC2">
        <w:rPr>
          <w:rStyle w:val="FootnoteReference"/>
        </w:rPr>
        <w:footnoteReference w:id="2"/>
      </w:r>
      <w:bookmarkEnd w:id="0"/>
      <w:r>
        <w:t xml:space="preserve"> per month from the assigned parish September through </w:t>
      </w:r>
      <w:r w:rsidR="00775896">
        <w:t>November</w:t>
      </w:r>
      <w:r w:rsidR="00C20BDA">
        <w:t>.</w:t>
      </w:r>
      <w:r w:rsidR="00C20BDA">
        <w:rPr>
          <w:rStyle w:val="FootnoteReference"/>
        </w:rPr>
        <w:footnoteReference w:id="3"/>
      </w:r>
      <w:r>
        <w:t xml:space="preserve"> </w:t>
      </w:r>
    </w:p>
    <w:p w14:paraId="30ED8654" w14:textId="46E079BC" w:rsidR="00BE7C8F" w:rsidRPr="006F4351" w:rsidRDefault="00BE7C8F" w:rsidP="006269B9">
      <w:pPr>
        <w:spacing w:after="120"/>
        <w:jc w:val="center"/>
        <w:rPr>
          <w:b/>
          <w:bCs/>
          <w:sz w:val="40"/>
          <w:szCs w:val="40"/>
          <w:u w:val="single"/>
        </w:rPr>
      </w:pPr>
      <w:r w:rsidRPr="006F4351">
        <w:rPr>
          <w:b/>
          <w:bCs/>
          <w:sz w:val="40"/>
          <w:szCs w:val="40"/>
          <w:u w:val="single"/>
        </w:rPr>
        <w:lastRenderedPageBreak/>
        <w:t>Benefits for Newly Ordained Deacons and Priests</w:t>
      </w:r>
    </w:p>
    <w:p w14:paraId="76CE62F3" w14:textId="58D27666" w:rsidR="00F35F5E" w:rsidRPr="00DD1995" w:rsidRDefault="00F35F5E" w:rsidP="006269B9">
      <w:pPr>
        <w:tabs>
          <w:tab w:val="left" w:pos="5526"/>
        </w:tabs>
        <w:spacing w:after="80"/>
        <w:rPr>
          <w:sz w:val="32"/>
          <w:szCs w:val="32"/>
        </w:rPr>
      </w:pPr>
      <w:r w:rsidRPr="00DD1995">
        <w:rPr>
          <w:sz w:val="32"/>
          <w:szCs w:val="32"/>
        </w:rPr>
        <w:t>Insurance Benefits</w:t>
      </w:r>
      <w:r w:rsidR="006269B9">
        <w:rPr>
          <w:sz w:val="32"/>
          <w:szCs w:val="32"/>
        </w:rPr>
        <w:tab/>
      </w:r>
    </w:p>
    <w:p w14:paraId="66B6EB60" w14:textId="77777777" w:rsidR="00F35F5E" w:rsidRDefault="00F35F5E" w:rsidP="00F35F5E">
      <w:pPr>
        <w:pStyle w:val="ListParagraph"/>
        <w:numPr>
          <w:ilvl w:val="0"/>
          <w:numId w:val="2"/>
        </w:numPr>
        <w:spacing w:before="120"/>
      </w:pPr>
      <w:r>
        <w:t>Car Insurance</w:t>
      </w:r>
    </w:p>
    <w:p w14:paraId="1270BFAF" w14:textId="1CCABD5A" w:rsidR="00F35F5E" w:rsidRDefault="005D00DA" w:rsidP="00F35F5E">
      <w:pPr>
        <w:pStyle w:val="ListParagraph"/>
        <w:numPr>
          <w:ilvl w:val="1"/>
          <w:numId w:val="2"/>
        </w:numPr>
      </w:pPr>
      <w:r>
        <w:t xml:space="preserve">Transitional Deacons can choose to be </w:t>
      </w:r>
      <w:r w:rsidR="00F35F5E">
        <w:t>added to the Archdiocesan</w:t>
      </w:r>
      <w:r>
        <w:t xml:space="preserve"> car</w:t>
      </w:r>
      <w:r w:rsidR="00F35F5E">
        <w:t xml:space="preserve"> insurance program upon ordination to the </w:t>
      </w:r>
      <w:r w:rsidR="006E4969">
        <w:t>diaconate</w:t>
      </w:r>
      <w:r w:rsidR="00F35F5E">
        <w:t xml:space="preserve">.  </w:t>
      </w:r>
    </w:p>
    <w:p w14:paraId="46F29F81" w14:textId="52BEC826" w:rsidR="00F35F5E" w:rsidRDefault="00F35F5E" w:rsidP="006269B9">
      <w:pPr>
        <w:pStyle w:val="ListParagraph"/>
        <w:numPr>
          <w:ilvl w:val="0"/>
          <w:numId w:val="2"/>
        </w:numPr>
        <w:spacing w:after="80"/>
      </w:pPr>
      <w:r>
        <w:t>Health Insurance</w:t>
      </w:r>
    </w:p>
    <w:tbl>
      <w:tblPr>
        <w:tblStyle w:val="TableGrid"/>
        <w:tblW w:w="0" w:type="auto"/>
        <w:jc w:val="center"/>
        <w:tblLook w:val="04A0" w:firstRow="1" w:lastRow="0" w:firstColumn="1" w:lastColumn="0" w:noHBand="0" w:noVBand="1"/>
      </w:tblPr>
      <w:tblGrid>
        <w:gridCol w:w="3571"/>
        <w:gridCol w:w="3359"/>
      </w:tblGrid>
      <w:tr w:rsidR="00F35F5E" w14:paraId="78523741" w14:textId="77777777" w:rsidTr="005F3D17">
        <w:trPr>
          <w:jc w:val="center"/>
        </w:trPr>
        <w:tc>
          <w:tcPr>
            <w:tcW w:w="3571" w:type="dxa"/>
          </w:tcPr>
          <w:p w14:paraId="64DDE137" w14:textId="77777777" w:rsidR="00F35F5E" w:rsidRPr="00840E45" w:rsidRDefault="00F35F5E" w:rsidP="005F3D17">
            <w:pPr>
              <w:jc w:val="center"/>
              <w:rPr>
                <w:sz w:val="28"/>
                <w:szCs w:val="28"/>
              </w:rPr>
            </w:pPr>
            <w:r w:rsidRPr="00840E45">
              <w:rPr>
                <w:sz w:val="28"/>
                <w:szCs w:val="28"/>
              </w:rPr>
              <w:t>Time Period</w:t>
            </w:r>
          </w:p>
        </w:tc>
        <w:tc>
          <w:tcPr>
            <w:tcW w:w="3359" w:type="dxa"/>
          </w:tcPr>
          <w:p w14:paraId="2F15F484" w14:textId="77777777" w:rsidR="00F35F5E" w:rsidRPr="00840E45" w:rsidRDefault="00F35F5E" w:rsidP="005F3D17">
            <w:pPr>
              <w:jc w:val="center"/>
              <w:rPr>
                <w:sz w:val="28"/>
                <w:szCs w:val="28"/>
              </w:rPr>
            </w:pPr>
            <w:r w:rsidRPr="00840E45">
              <w:rPr>
                <w:sz w:val="28"/>
                <w:szCs w:val="28"/>
              </w:rPr>
              <w:t>Paid By</w:t>
            </w:r>
          </w:p>
        </w:tc>
      </w:tr>
      <w:tr w:rsidR="00F35F5E" w14:paraId="00CB693C" w14:textId="77777777" w:rsidTr="005F3D17">
        <w:trPr>
          <w:jc w:val="center"/>
        </w:trPr>
        <w:tc>
          <w:tcPr>
            <w:tcW w:w="3571" w:type="dxa"/>
          </w:tcPr>
          <w:p w14:paraId="051EA783" w14:textId="1A1B8E17" w:rsidR="00F35F5E" w:rsidRDefault="00F35F5E" w:rsidP="005F3D17">
            <w:r>
              <w:t>Until May 31</w:t>
            </w:r>
            <w:r w:rsidRPr="009C67D7">
              <w:rPr>
                <w:vertAlign w:val="superscript"/>
              </w:rPr>
              <w:t>st</w:t>
            </w:r>
            <w:r>
              <w:t xml:space="preserve"> of Configuration III</w:t>
            </w:r>
          </w:p>
        </w:tc>
        <w:tc>
          <w:tcPr>
            <w:tcW w:w="3359" w:type="dxa"/>
          </w:tcPr>
          <w:p w14:paraId="040CF97A" w14:textId="77777777" w:rsidR="00F35F5E" w:rsidRPr="00406796" w:rsidRDefault="00F35F5E" w:rsidP="005F3D17">
            <w:r w:rsidRPr="00406796">
              <w:t>Kenrick-Glennon Seminary</w:t>
            </w:r>
          </w:p>
        </w:tc>
      </w:tr>
      <w:tr w:rsidR="00F35F5E" w14:paraId="4A42F217" w14:textId="77777777" w:rsidTr="005F3D17">
        <w:trPr>
          <w:jc w:val="center"/>
        </w:trPr>
        <w:tc>
          <w:tcPr>
            <w:tcW w:w="6930" w:type="dxa"/>
            <w:gridSpan w:val="2"/>
          </w:tcPr>
          <w:p w14:paraId="1690C0D9" w14:textId="77777777" w:rsidR="00F35F5E" w:rsidRPr="009C67D7" w:rsidRDefault="00F35F5E" w:rsidP="005F3D17">
            <w:pPr>
              <w:spacing w:before="120" w:after="120"/>
              <w:jc w:val="center"/>
              <w:rPr>
                <w:b/>
                <w:bCs/>
              </w:rPr>
            </w:pPr>
            <w:r w:rsidRPr="009C67D7">
              <w:rPr>
                <w:b/>
                <w:bCs/>
              </w:rPr>
              <w:t>Diaconate Ordination</w:t>
            </w:r>
          </w:p>
        </w:tc>
      </w:tr>
      <w:tr w:rsidR="00F35F5E" w14:paraId="0612BA78" w14:textId="77777777" w:rsidTr="005F3D17">
        <w:trPr>
          <w:jc w:val="center"/>
        </w:trPr>
        <w:tc>
          <w:tcPr>
            <w:tcW w:w="3571" w:type="dxa"/>
          </w:tcPr>
          <w:p w14:paraId="054E369C" w14:textId="77777777" w:rsidR="00F35F5E" w:rsidRDefault="00F35F5E" w:rsidP="005F3D17">
            <w:r>
              <w:t>June – July (2 months)</w:t>
            </w:r>
          </w:p>
        </w:tc>
        <w:tc>
          <w:tcPr>
            <w:tcW w:w="3359" w:type="dxa"/>
          </w:tcPr>
          <w:p w14:paraId="2491BD2A" w14:textId="77777777" w:rsidR="00F35F5E" w:rsidRPr="00406796" w:rsidRDefault="00F35F5E" w:rsidP="005F3D17">
            <w:r>
              <w:t>Parish of Deacon Assignment</w:t>
            </w:r>
          </w:p>
        </w:tc>
      </w:tr>
      <w:tr w:rsidR="00F35F5E" w14:paraId="500FB4F7" w14:textId="77777777" w:rsidTr="005F3D17">
        <w:trPr>
          <w:jc w:val="center"/>
        </w:trPr>
        <w:tc>
          <w:tcPr>
            <w:tcW w:w="3571" w:type="dxa"/>
          </w:tcPr>
          <w:p w14:paraId="178848A4" w14:textId="77777777" w:rsidR="00F35F5E" w:rsidRDefault="00F35F5E" w:rsidP="005F3D17">
            <w:r>
              <w:t>August – December (5 months)</w:t>
            </w:r>
          </w:p>
        </w:tc>
        <w:tc>
          <w:tcPr>
            <w:tcW w:w="3359" w:type="dxa"/>
          </w:tcPr>
          <w:p w14:paraId="62577426" w14:textId="77777777" w:rsidR="00F35F5E" w:rsidRPr="00406796" w:rsidRDefault="00F35F5E" w:rsidP="005F3D17">
            <w:r>
              <w:t>Vocation Office</w:t>
            </w:r>
          </w:p>
        </w:tc>
      </w:tr>
      <w:tr w:rsidR="00F35F5E" w14:paraId="12DDD039" w14:textId="77777777" w:rsidTr="005F3D17">
        <w:trPr>
          <w:jc w:val="center"/>
        </w:trPr>
        <w:tc>
          <w:tcPr>
            <w:tcW w:w="3571" w:type="dxa"/>
          </w:tcPr>
          <w:p w14:paraId="059E356F" w14:textId="77777777" w:rsidR="00F35F5E" w:rsidRDefault="00F35F5E" w:rsidP="005F3D17">
            <w:r>
              <w:t>January – May (5 months)</w:t>
            </w:r>
          </w:p>
        </w:tc>
        <w:tc>
          <w:tcPr>
            <w:tcW w:w="3359" w:type="dxa"/>
          </w:tcPr>
          <w:p w14:paraId="2174A4AA" w14:textId="77777777" w:rsidR="00F35F5E" w:rsidRPr="00916B4D" w:rsidRDefault="00F35F5E" w:rsidP="005F3D17">
            <w:r w:rsidRPr="00916B4D">
              <w:t>Parish of Deacon assignment</w:t>
            </w:r>
          </w:p>
        </w:tc>
      </w:tr>
      <w:tr w:rsidR="00F35F5E" w14:paraId="5C614B1D" w14:textId="77777777" w:rsidTr="005F3D17">
        <w:trPr>
          <w:jc w:val="center"/>
        </w:trPr>
        <w:tc>
          <w:tcPr>
            <w:tcW w:w="6930" w:type="dxa"/>
            <w:gridSpan w:val="2"/>
          </w:tcPr>
          <w:p w14:paraId="6289D29A" w14:textId="77777777" w:rsidR="00F35F5E" w:rsidRPr="009C67D7" w:rsidRDefault="00F35F5E" w:rsidP="005F3D17">
            <w:pPr>
              <w:spacing w:before="120" w:after="120"/>
              <w:jc w:val="center"/>
              <w:rPr>
                <w:b/>
                <w:bCs/>
              </w:rPr>
            </w:pPr>
            <w:r w:rsidRPr="009C67D7">
              <w:rPr>
                <w:b/>
                <w:bCs/>
              </w:rPr>
              <w:t>Priesthood Ordination</w:t>
            </w:r>
          </w:p>
        </w:tc>
      </w:tr>
      <w:tr w:rsidR="00F35F5E" w14:paraId="513C2ED7" w14:textId="77777777" w:rsidTr="005F3D17">
        <w:trPr>
          <w:jc w:val="center"/>
        </w:trPr>
        <w:tc>
          <w:tcPr>
            <w:tcW w:w="3571" w:type="dxa"/>
          </w:tcPr>
          <w:p w14:paraId="1B8B8A54" w14:textId="77777777" w:rsidR="00F35F5E" w:rsidRDefault="00F35F5E" w:rsidP="005F3D17">
            <w:r>
              <w:t>June</w:t>
            </w:r>
          </w:p>
        </w:tc>
        <w:tc>
          <w:tcPr>
            <w:tcW w:w="3359" w:type="dxa"/>
          </w:tcPr>
          <w:p w14:paraId="5346767B" w14:textId="77777777" w:rsidR="00F35F5E" w:rsidRDefault="00F35F5E" w:rsidP="005F3D17">
            <w:r>
              <w:t>PMBS</w:t>
            </w:r>
          </w:p>
        </w:tc>
      </w:tr>
      <w:tr w:rsidR="00F35F5E" w14:paraId="60FB72B9" w14:textId="77777777" w:rsidTr="005F3D17">
        <w:trPr>
          <w:jc w:val="center"/>
        </w:trPr>
        <w:tc>
          <w:tcPr>
            <w:tcW w:w="3571" w:type="dxa"/>
          </w:tcPr>
          <w:p w14:paraId="0CDDC600" w14:textId="22DD6EB6" w:rsidR="00F35F5E" w:rsidRDefault="00F35F5E" w:rsidP="005F3D17">
            <w:r>
              <w:t>July</w:t>
            </w:r>
            <w:r w:rsidR="006D7EB5">
              <w:t xml:space="preserve"> an onwards</w:t>
            </w:r>
          </w:p>
        </w:tc>
        <w:tc>
          <w:tcPr>
            <w:tcW w:w="3359" w:type="dxa"/>
          </w:tcPr>
          <w:p w14:paraId="3301A3F3" w14:textId="77777777" w:rsidR="00F35F5E" w:rsidRDefault="00F35F5E" w:rsidP="005F3D17">
            <w:r>
              <w:t>Parish of Priest assignment</w:t>
            </w:r>
          </w:p>
        </w:tc>
      </w:tr>
    </w:tbl>
    <w:p w14:paraId="0FDA4468" w14:textId="57354AB5" w:rsidR="006D7EB5" w:rsidRDefault="006D7EB5" w:rsidP="006D7EB5">
      <w:pPr>
        <w:pStyle w:val="ListParagraph"/>
        <w:numPr>
          <w:ilvl w:val="1"/>
          <w:numId w:val="2"/>
        </w:numPr>
        <w:spacing w:before="120"/>
      </w:pPr>
      <w:r>
        <w:t>Notes:</w:t>
      </w:r>
    </w:p>
    <w:p w14:paraId="38CEE579" w14:textId="77777777" w:rsidR="00945C5F" w:rsidRDefault="00945C5F" w:rsidP="00945C5F">
      <w:pPr>
        <w:pStyle w:val="ListParagraph"/>
        <w:numPr>
          <w:ilvl w:val="2"/>
          <w:numId w:val="2"/>
        </w:numPr>
      </w:pPr>
      <w:r>
        <w:t xml:space="preserve">Seminarians are added to the Lay Archdiocesan insurance plan through Kenrick-Glennon Seminary once they age off their parents’ insurance plan at 26.  Seminarians under 26 may also be added to the Lay Archdiocesan insurance plan at the recommendation of the Vocation Director.  </w:t>
      </w:r>
    </w:p>
    <w:p w14:paraId="74462154" w14:textId="5FEED091" w:rsidR="00945C5F" w:rsidRDefault="00945C5F" w:rsidP="00945C5F">
      <w:pPr>
        <w:pStyle w:val="ListParagraph"/>
        <w:numPr>
          <w:ilvl w:val="2"/>
          <w:numId w:val="2"/>
        </w:numPr>
        <w:spacing w:after="80"/>
      </w:pPr>
      <w:r>
        <w:t xml:space="preserve">Deacons who are younger than 26 may </w:t>
      </w:r>
      <w:r w:rsidR="00431D2E">
        <w:t>elect</w:t>
      </w:r>
      <w:r>
        <w:t xml:space="preserve"> to remain on their parent’s health insurance.  </w:t>
      </w:r>
      <w:r w:rsidR="006A21A9">
        <w:t xml:space="preserve">If </w:t>
      </w:r>
      <w:r w:rsidR="00A46207">
        <w:t xml:space="preserve">so, this expense is not assessed to the Vocation Office or the parish of diaconate assignment.  </w:t>
      </w:r>
    </w:p>
    <w:p w14:paraId="1E9421AC" w14:textId="33F65DEB" w:rsidR="007D2C9F" w:rsidRDefault="006269B9" w:rsidP="00945C5F">
      <w:pPr>
        <w:pStyle w:val="ListParagraph"/>
        <w:numPr>
          <w:ilvl w:val="2"/>
          <w:numId w:val="2"/>
        </w:numPr>
        <w:spacing w:after="80"/>
      </w:pPr>
      <w:r>
        <w:t xml:space="preserve">The </w:t>
      </w:r>
      <w:r w:rsidR="00010ED4">
        <w:t>Priest Personnel</w:t>
      </w:r>
      <w:r w:rsidR="007D2C9F">
        <w:t xml:space="preserve"> </w:t>
      </w:r>
      <w:r>
        <w:t xml:space="preserve">Office </w:t>
      </w:r>
      <w:r w:rsidR="007D2C9F">
        <w:t>add</w:t>
      </w:r>
      <w:r w:rsidR="00E432A7">
        <w:t>s</w:t>
      </w:r>
      <w:r w:rsidR="007D2C9F">
        <w:t xml:space="preserve"> </w:t>
      </w:r>
      <w:r w:rsidR="00F75A48">
        <w:t>n</w:t>
      </w:r>
      <w:r w:rsidR="007D2C9F">
        <w:t xml:space="preserve">ewly </w:t>
      </w:r>
      <w:r w:rsidR="00F75A48">
        <w:t>o</w:t>
      </w:r>
      <w:r>
        <w:t xml:space="preserve">rdained </w:t>
      </w:r>
      <w:r w:rsidR="00F75A48">
        <w:t>d</w:t>
      </w:r>
      <w:r>
        <w:t xml:space="preserve">eacons onto the </w:t>
      </w:r>
      <w:r w:rsidR="00F75A48">
        <w:t>P</w:t>
      </w:r>
      <w:r>
        <w:t xml:space="preserve">riest </w:t>
      </w:r>
      <w:r w:rsidR="00AB1F3E">
        <w:t>Archdiocesan i</w:t>
      </w:r>
      <w:r>
        <w:t>nsurance plan on June 1</w:t>
      </w:r>
      <w:r w:rsidRPr="006269B9">
        <w:rPr>
          <w:vertAlign w:val="superscript"/>
        </w:rPr>
        <w:t>st</w:t>
      </w:r>
      <w:r w:rsidR="005F4D55">
        <w:t xml:space="preserve"> following their ordination.  </w:t>
      </w:r>
      <w:r>
        <w:t xml:space="preserve">  </w:t>
      </w:r>
    </w:p>
    <w:p w14:paraId="026E92EF" w14:textId="33851506" w:rsidR="00F35F5E" w:rsidRPr="00DD1995" w:rsidRDefault="00F35F5E" w:rsidP="006269B9">
      <w:pPr>
        <w:spacing w:after="120"/>
        <w:rPr>
          <w:sz w:val="32"/>
          <w:szCs w:val="32"/>
        </w:rPr>
      </w:pPr>
      <w:r w:rsidRPr="00DD1995">
        <w:rPr>
          <w:sz w:val="32"/>
          <w:szCs w:val="32"/>
        </w:rPr>
        <w:t>General Benefits</w:t>
      </w:r>
    </w:p>
    <w:p w14:paraId="605B731E" w14:textId="21707C5D" w:rsidR="006D7EB5" w:rsidRDefault="00F35F5E" w:rsidP="00F35F5E">
      <w:pPr>
        <w:pStyle w:val="ListParagraph"/>
        <w:numPr>
          <w:ilvl w:val="0"/>
          <w:numId w:val="2"/>
        </w:numPr>
      </w:pPr>
      <w:r>
        <w:t>Priest Accountable Plan</w:t>
      </w:r>
      <w:r w:rsidR="00431D2E">
        <w:rPr>
          <w:rStyle w:val="FootnoteReference"/>
        </w:rPr>
        <w:footnoteReference w:id="4"/>
      </w:r>
    </w:p>
    <w:p w14:paraId="67078DA0" w14:textId="17CFFED9" w:rsidR="00F35F5E" w:rsidRDefault="00F35F5E" w:rsidP="006D7EB5">
      <w:pPr>
        <w:pStyle w:val="ListParagraph"/>
        <w:numPr>
          <w:ilvl w:val="1"/>
          <w:numId w:val="2"/>
        </w:numPr>
      </w:pPr>
      <w:r>
        <w:t>Transitional Deacons receive half of the priest accountable plan from the parish of deacon assignment.  The second half of the priest accountable plan is paid by the parish of priest assignment.</w:t>
      </w:r>
    </w:p>
    <w:p w14:paraId="11488698" w14:textId="77777777" w:rsidR="006D7EB5" w:rsidRDefault="006D7EB5" w:rsidP="006D7EB5">
      <w:pPr>
        <w:pStyle w:val="ListParagraph"/>
        <w:numPr>
          <w:ilvl w:val="0"/>
          <w:numId w:val="2"/>
        </w:numPr>
      </w:pPr>
      <w:r>
        <w:t>Continuing Education Plan</w:t>
      </w:r>
    </w:p>
    <w:p w14:paraId="26602BB2" w14:textId="43330AE6" w:rsidR="006D7EB5" w:rsidRDefault="006D7EB5" w:rsidP="006D7EB5">
      <w:pPr>
        <w:pStyle w:val="ListParagraph"/>
        <w:numPr>
          <w:ilvl w:val="1"/>
          <w:numId w:val="2"/>
        </w:numPr>
      </w:pPr>
      <w:r>
        <w:t xml:space="preserve">Transitional Deacons will be responsible for scheduling and attending a Canonical Retreat before their priestly ordination.  If this requirement is not met through seminary formation, they may use half of the continuing education funds for retreat.  This will be paid by the parish of deacon assignment.  </w:t>
      </w:r>
    </w:p>
    <w:p w14:paraId="52790129" w14:textId="2C58C440" w:rsidR="006D7EB5" w:rsidRDefault="006D7EB5" w:rsidP="006D7EB5">
      <w:pPr>
        <w:pStyle w:val="ListParagraph"/>
        <w:numPr>
          <w:ilvl w:val="1"/>
          <w:numId w:val="2"/>
        </w:numPr>
      </w:pPr>
      <w:r>
        <w:t xml:space="preserve">Transitional deacons should not use continuing education funds for workshops during their deacon assignment.  </w:t>
      </w:r>
    </w:p>
    <w:p w14:paraId="1F0AC9FD" w14:textId="77777777" w:rsidR="006D7EB5" w:rsidRDefault="00F35F5E" w:rsidP="00F35F5E">
      <w:pPr>
        <w:pStyle w:val="ListParagraph"/>
        <w:numPr>
          <w:ilvl w:val="0"/>
          <w:numId w:val="2"/>
        </w:numPr>
      </w:pPr>
      <w:r>
        <w:lastRenderedPageBreak/>
        <w:t>Cell phone Plan</w:t>
      </w:r>
    </w:p>
    <w:p w14:paraId="27D112D0" w14:textId="1555FE55" w:rsidR="00F35F5E" w:rsidRDefault="00F35F5E" w:rsidP="006D7EB5">
      <w:pPr>
        <w:pStyle w:val="ListParagraph"/>
        <w:numPr>
          <w:ilvl w:val="1"/>
          <w:numId w:val="2"/>
        </w:numPr>
      </w:pPr>
      <w:r>
        <w:t xml:space="preserve">Transitional Deacons will not receive this benefit until they ordained priests.  Upon ordination, priests will receive this benefit from the parish of priesthood assignment.  </w:t>
      </w:r>
    </w:p>
    <w:p w14:paraId="60D700CF" w14:textId="123AC38B" w:rsidR="006D7EB5" w:rsidRPr="00DD1995" w:rsidRDefault="006D7EB5" w:rsidP="006D7EB5">
      <w:pPr>
        <w:spacing w:before="160"/>
        <w:rPr>
          <w:sz w:val="32"/>
          <w:szCs w:val="32"/>
        </w:rPr>
      </w:pPr>
      <w:r w:rsidRPr="00DD1995">
        <w:rPr>
          <w:sz w:val="32"/>
          <w:szCs w:val="32"/>
        </w:rPr>
        <w:t>Retirement Benefits</w:t>
      </w:r>
    </w:p>
    <w:p w14:paraId="3346EC00" w14:textId="77777777" w:rsidR="006D7EB5" w:rsidRDefault="006D7EB5" w:rsidP="006D7EB5">
      <w:pPr>
        <w:pStyle w:val="ListParagraph"/>
        <w:numPr>
          <w:ilvl w:val="0"/>
          <w:numId w:val="2"/>
        </w:numPr>
      </w:pPr>
      <w:r>
        <w:t xml:space="preserve">The Vocation Office and Parishes of Assignment do not pay PMBS for retirement benefits </w:t>
      </w:r>
      <w:proofErr w:type="gramStart"/>
      <w:r>
        <w:t>during the course of</w:t>
      </w:r>
      <w:proofErr w:type="gramEnd"/>
      <w:r>
        <w:t xml:space="preserve"> the Vocational Synthesis year.  </w:t>
      </w:r>
    </w:p>
    <w:p w14:paraId="42D89DEE" w14:textId="77777777" w:rsidR="006D7EB5" w:rsidRDefault="006D7EB5" w:rsidP="006D7EB5">
      <w:pPr>
        <w:pStyle w:val="ListParagraph"/>
        <w:numPr>
          <w:ilvl w:val="0"/>
          <w:numId w:val="2"/>
        </w:numPr>
      </w:pPr>
      <w:r>
        <w:t xml:space="preserve">Newly Ordained priests may seek to use the 403b Priest Retirement Plan Benefit through Empower upon ordination to the Priesthood.  (This is different from the 403b Plan offered to Lay Employees.  The </w:t>
      </w:r>
      <w:proofErr w:type="gramStart"/>
      <w:r>
        <w:t>Archdiocese</w:t>
      </w:r>
      <w:proofErr w:type="gramEnd"/>
      <w:r>
        <w:t xml:space="preserve"> does not match any payments made into the 403b Priest Retirement Plan.)</w:t>
      </w:r>
    </w:p>
    <w:p w14:paraId="00C6E03C" w14:textId="57459886" w:rsidR="00EB7647" w:rsidRDefault="00EB7647" w:rsidP="0024459B">
      <w:pPr>
        <w:rPr>
          <w:sz w:val="32"/>
          <w:szCs w:val="32"/>
        </w:rPr>
      </w:pPr>
      <w:r>
        <w:rPr>
          <w:sz w:val="32"/>
          <w:szCs w:val="32"/>
        </w:rPr>
        <w:t>Vacation Time</w:t>
      </w:r>
    </w:p>
    <w:p w14:paraId="24EB6609" w14:textId="28B91479" w:rsidR="00EB7647" w:rsidRDefault="004738D6" w:rsidP="00EB7647">
      <w:pPr>
        <w:pStyle w:val="ListParagraph"/>
        <w:numPr>
          <w:ilvl w:val="0"/>
          <w:numId w:val="2"/>
        </w:numPr>
      </w:pPr>
      <w:r>
        <w:t>The start date for Transitional Deacons will be June 1</w:t>
      </w:r>
      <w:r w:rsidRPr="004738D6">
        <w:rPr>
          <w:vertAlign w:val="superscript"/>
        </w:rPr>
        <w:t>st</w:t>
      </w:r>
      <w:r w:rsidR="00347446">
        <w:t xml:space="preserve">.  Over the course of their time assigned to a parish (June-July and January-May), they </w:t>
      </w:r>
      <w:r w:rsidR="00637ABE">
        <w:t xml:space="preserve">will </w:t>
      </w:r>
      <w:r w:rsidR="00FD6160">
        <w:t>be allotted paid time off</w:t>
      </w:r>
      <w:r w:rsidR="006A30BD">
        <w:t xml:space="preserve"> as follows</w:t>
      </w:r>
      <w:r w:rsidR="003F19DC">
        <w:t xml:space="preserve">.  </w:t>
      </w:r>
      <w:r w:rsidR="00343EB2">
        <w:t xml:space="preserve">Transitional Deacons should </w:t>
      </w:r>
      <w:r w:rsidR="0009092B">
        <w:t>communicate with their pastor before scheduling these days</w:t>
      </w:r>
      <w:r w:rsidR="00FD6160">
        <w:t>:</w:t>
      </w:r>
    </w:p>
    <w:p w14:paraId="6B9030E8" w14:textId="55542167" w:rsidR="00FD6160" w:rsidRDefault="00FD6160" w:rsidP="00FD6160">
      <w:pPr>
        <w:pStyle w:val="ListParagraph"/>
        <w:numPr>
          <w:ilvl w:val="1"/>
          <w:numId w:val="2"/>
        </w:numPr>
      </w:pPr>
      <w:r>
        <w:t xml:space="preserve">14 </w:t>
      </w:r>
      <w:r w:rsidR="002D2C4F">
        <w:t>d</w:t>
      </w:r>
      <w:r>
        <w:t>ays of vacation</w:t>
      </w:r>
    </w:p>
    <w:p w14:paraId="1AF2E89A" w14:textId="693A528E" w:rsidR="002D2C4F" w:rsidRDefault="002D2C4F" w:rsidP="00FD6160">
      <w:pPr>
        <w:pStyle w:val="ListParagraph"/>
        <w:numPr>
          <w:ilvl w:val="1"/>
          <w:numId w:val="2"/>
        </w:numPr>
      </w:pPr>
      <w:r>
        <w:t>7 days for a canonical retreat (if this requirement has not been met during seminary formation)</w:t>
      </w:r>
    </w:p>
    <w:p w14:paraId="41C2C726" w14:textId="4FEE7DF4" w:rsidR="00F85E5E" w:rsidRDefault="00A0579D" w:rsidP="00FD6160">
      <w:pPr>
        <w:pStyle w:val="ListParagraph"/>
        <w:numPr>
          <w:ilvl w:val="1"/>
          <w:numId w:val="2"/>
        </w:numPr>
      </w:pPr>
      <w:r>
        <w:t>Pastors may also grant their deacon permission to attend the</w:t>
      </w:r>
      <w:r w:rsidR="005B2E75">
        <w:t xml:space="preserve"> Deacon Refresher Course at KGS </w:t>
      </w:r>
      <w:r>
        <w:t>in May</w:t>
      </w:r>
      <w:r w:rsidR="00BB5271">
        <w:t xml:space="preserve"> for continuing education</w:t>
      </w:r>
      <w:r>
        <w:t xml:space="preserve">.  </w:t>
      </w:r>
    </w:p>
    <w:p w14:paraId="79FED361" w14:textId="2FA9C6F2" w:rsidR="005B5278" w:rsidRDefault="005B5278"/>
    <w:p w14:paraId="1BCD0425" w14:textId="5914E6A6" w:rsidR="005B5278" w:rsidRPr="00DD1995" w:rsidRDefault="005B5278" w:rsidP="005B5278">
      <w:pPr>
        <w:jc w:val="center"/>
        <w:rPr>
          <w:sz w:val="32"/>
          <w:szCs w:val="32"/>
        </w:rPr>
      </w:pPr>
      <w:r w:rsidRPr="00DD1995">
        <w:rPr>
          <w:sz w:val="32"/>
          <w:szCs w:val="32"/>
        </w:rPr>
        <w:t>Estimated Costs per Deacon to Each Entity During the Course of Vocational Synthesis Year</w:t>
      </w:r>
      <w:r w:rsidR="009A3656" w:rsidRPr="00DD1995">
        <w:rPr>
          <w:sz w:val="32"/>
          <w:szCs w:val="32"/>
        </w:rPr>
        <w:t xml:space="preserve"> (202</w:t>
      </w:r>
      <w:r w:rsidR="00310E91">
        <w:rPr>
          <w:sz w:val="32"/>
          <w:szCs w:val="32"/>
        </w:rPr>
        <w:t>5-26</w:t>
      </w:r>
      <w:r w:rsidR="009A3656" w:rsidRPr="00DD1995">
        <w:rPr>
          <w:sz w:val="32"/>
          <w:szCs w:val="32"/>
        </w:rPr>
        <w:t>)</w:t>
      </w:r>
    </w:p>
    <w:tbl>
      <w:tblPr>
        <w:tblStyle w:val="TableGrid"/>
        <w:tblW w:w="9769" w:type="dxa"/>
        <w:tblLook w:val="04A0" w:firstRow="1" w:lastRow="0" w:firstColumn="1" w:lastColumn="0" w:noHBand="0" w:noVBand="1"/>
      </w:tblPr>
      <w:tblGrid>
        <w:gridCol w:w="4675"/>
        <w:gridCol w:w="1890"/>
        <w:gridCol w:w="1710"/>
        <w:gridCol w:w="1494"/>
      </w:tblGrid>
      <w:tr w:rsidR="00CE0E75" w:rsidRPr="009F7964" w14:paraId="0BB9D0B8" w14:textId="77777777" w:rsidTr="00DF7F0F">
        <w:trPr>
          <w:trHeight w:val="285"/>
        </w:trPr>
        <w:tc>
          <w:tcPr>
            <w:tcW w:w="4675" w:type="dxa"/>
            <w:noWrap/>
            <w:hideMark/>
          </w:tcPr>
          <w:p w14:paraId="3C3884AF" w14:textId="7D65B39E" w:rsidR="00CE0E75" w:rsidRPr="009F7964" w:rsidRDefault="001D68B1" w:rsidP="001D68B1">
            <w:pPr>
              <w:jc w:val="center"/>
            </w:pPr>
            <w:r w:rsidRPr="001D68B1">
              <w:rPr>
                <w:sz w:val="18"/>
                <w:szCs w:val="18"/>
              </w:rPr>
              <w:t>(</w:t>
            </w:r>
            <w:r w:rsidR="00DF7F0F" w:rsidRPr="001D68B1">
              <w:rPr>
                <w:sz w:val="18"/>
                <w:szCs w:val="18"/>
              </w:rPr>
              <w:t>All numbers in this chart are totals</w:t>
            </w:r>
            <w:r w:rsidRPr="001D68B1">
              <w:rPr>
                <w:sz w:val="18"/>
                <w:szCs w:val="18"/>
              </w:rPr>
              <w:t>, not per month payments</w:t>
            </w:r>
            <w:r>
              <w:rPr>
                <w:sz w:val="18"/>
                <w:szCs w:val="18"/>
              </w:rPr>
              <w:t>.  Amounts are subject to change.</w:t>
            </w:r>
            <w:r w:rsidR="00E91FF2">
              <w:rPr>
                <w:rStyle w:val="FootnoteReference"/>
                <w:sz w:val="18"/>
                <w:szCs w:val="18"/>
              </w:rPr>
              <w:footnoteReference w:id="5"/>
            </w:r>
            <w:r w:rsidRPr="001D68B1">
              <w:rPr>
                <w:sz w:val="18"/>
                <w:szCs w:val="18"/>
              </w:rPr>
              <w:t>)</w:t>
            </w:r>
          </w:p>
        </w:tc>
        <w:tc>
          <w:tcPr>
            <w:tcW w:w="1890" w:type="dxa"/>
            <w:noWrap/>
            <w:hideMark/>
          </w:tcPr>
          <w:p w14:paraId="5F46F774" w14:textId="1172553F" w:rsidR="00CE0E75" w:rsidRPr="009F7964" w:rsidRDefault="00CE0E75">
            <w:r w:rsidRPr="009F7964">
              <w:t xml:space="preserve">Parish </w:t>
            </w:r>
            <w:r w:rsidR="00DF7F0F">
              <w:t xml:space="preserve">Assignment </w:t>
            </w:r>
            <w:r w:rsidRPr="009F7964">
              <w:t>Expenses</w:t>
            </w:r>
          </w:p>
        </w:tc>
        <w:tc>
          <w:tcPr>
            <w:tcW w:w="1710" w:type="dxa"/>
            <w:noWrap/>
            <w:hideMark/>
          </w:tcPr>
          <w:p w14:paraId="408FFABA" w14:textId="77777777" w:rsidR="00CE0E75" w:rsidRPr="009F7964" w:rsidRDefault="00CE0E75">
            <w:r w:rsidRPr="009F7964">
              <w:t>Vocation Office Expenses</w:t>
            </w:r>
          </w:p>
        </w:tc>
        <w:tc>
          <w:tcPr>
            <w:tcW w:w="1494" w:type="dxa"/>
            <w:noWrap/>
            <w:hideMark/>
          </w:tcPr>
          <w:p w14:paraId="063A757C" w14:textId="5B617F8B" w:rsidR="00CE0E75" w:rsidRPr="009F7964" w:rsidRDefault="00CE0E75">
            <w:r w:rsidRPr="009F7964">
              <w:t>PMBS</w:t>
            </w:r>
            <w:r>
              <w:t xml:space="preserve"> Expenses</w:t>
            </w:r>
          </w:p>
        </w:tc>
      </w:tr>
      <w:tr w:rsidR="00F64136" w:rsidRPr="009F7964" w14:paraId="327668EF" w14:textId="77777777" w:rsidTr="00DF7F0F">
        <w:trPr>
          <w:trHeight w:val="285"/>
        </w:trPr>
        <w:tc>
          <w:tcPr>
            <w:tcW w:w="4675" w:type="dxa"/>
            <w:noWrap/>
          </w:tcPr>
          <w:p w14:paraId="07FC12F6" w14:textId="12BA7F85" w:rsidR="00F64136" w:rsidRPr="009F7964" w:rsidRDefault="006939E9">
            <w:r>
              <w:t>Deacon Salary</w:t>
            </w:r>
            <w:r w:rsidR="00A52F51">
              <w:t xml:space="preserve"> (Jun</w:t>
            </w:r>
            <w:r w:rsidR="000347E7">
              <w:t xml:space="preserve">e – </w:t>
            </w:r>
            <w:r w:rsidR="005A525A">
              <w:t>July</w:t>
            </w:r>
            <w:r w:rsidR="008A503E">
              <w:t>)</w:t>
            </w:r>
          </w:p>
        </w:tc>
        <w:tc>
          <w:tcPr>
            <w:tcW w:w="1890" w:type="dxa"/>
            <w:noWrap/>
          </w:tcPr>
          <w:p w14:paraId="6C700BC8" w14:textId="5A9C0BF9" w:rsidR="00F64136" w:rsidRPr="009F7964" w:rsidRDefault="00943DC2">
            <w:r w:rsidRPr="00943DC2">
              <w:t>$3,713.33</w:t>
            </w:r>
          </w:p>
        </w:tc>
        <w:tc>
          <w:tcPr>
            <w:tcW w:w="1710" w:type="dxa"/>
            <w:noWrap/>
          </w:tcPr>
          <w:p w14:paraId="2180DC23" w14:textId="77777777" w:rsidR="00F64136" w:rsidRPr="009F7964" w:rsidRDefault="00F64136"/>
        </w:tc>
        <w:tc>
          <w:tcPr>
            <w:tcW w:w="1494" w:type="dxa"/>
            <w:noWrap/>
          </w:tcPr>
          <w:p w14:paraId="6789F484" w14:textId="77777777" w:rsidR="00F64136" w:rsidRPr="009F7964" w:rsidRDefault="00F64136"/>
        </w:tc>
      </w:tr>
      <w:tr w:rsidR="00CE0E75" w:rsidRPr="009F7964" w14:paraId="2F419778" w14:textId="77777777" w:rsidTr="00DF7F0F">
        <w:trPr>
          <w:trHeight w:val="285"/>
        </w:trPr>
        <w:tc>
          <w:tcPr>
            <w:tcW w:w="4675" w:type="dxa"/>
            <w:noWrap/>
            <w:hideMark/>
          </w:tcPr>
          <w:p w14:paraId="0AE29F42" w14:textId="16B12401" w:rsidR="00CE0E75" w:rsidRPr="009F7964" w:rsidRDefault="00CE0E75">
            <w:r w:rsidRPr="009F7964">
              <w:t>Deacon School Year Stipend (</w:t>
            </w:r>
            <w:r w:rsidR="00040352">
              <w:t>Aug</w:t>
            </w:r>
            <w:r w:rsidR="000347E7">
              <w:t xml:space="preserve"> – </w:t>
            </w:r>
            <w:r>
              <w:t>Jan 15</w:t>
            </w:r>
            <w:r w:rsidRPr="0059614E">
              <w:rPr>
                <w:vertAlign w:val="superscript"/>
              </w:rPr>
              <w:t>th</w:t>
            </w:r>
            <w:r w:rsidRPr="009F7964">
              <w:t>)</w:t>
            </w:r>
          </w:p>
        </w:tc>
        <w:tc>
          <w:tcPr>
            <w:tcW w:w="1890" w:type="dxa"/>
            <w:noWrap/>
            <w:hideMark/>
          </w:tcPr>
          <w:p w14:paraId="33046B16" w14:textId="77777777" w:rsidR="00CE0E75" w:rsidRPr="009F7964" w:rsidRDefault="00CE0E75">
            <w:r w:rsidRPr="009F7964">
              <w:t> </w:t>
            </w:r>
          </w:p>
        </w:tc>
        <w:tc>
          <w:tcPr>
            <w:tcW w:w="1710" w:type="dxa"/>
            <w:noWrap/>
            <w:hideMark/>
          </w:tcPr>
          <w:p w14:paraId="4B8D091A" w14:textId="70C9E0EE" w:rsidR="00CE0E75" w:rsidRPr="009F7964" w:rsidRDefault="00CE0E75">
            <w:r w:rsidRPr="009F7964">
              <w:t>$</w:t>
            </w:r>
            <w:r w:rsidR="0009171F" w:rsidRPr="0009171F">
              <w:t>4,125</w:t>
            </w:r>
            <w:r w:rsidR="0009171F">
              <w:t>.00</w:t>
            </w:r>
          </w:p>
        </w:tc>
        <w:tc>
          <w:tcPr>
            <w:tcW w:w="1494" w:type="dxa"/>
            <w:noWrap/>
            <w:hideMark/>
          </w:tcPr>
          <w:p w14:paraId="15B72CE2" w14:textId="77777777" w:rsidR="00CE0E75" w:rsidRPr="009F7964" w:rsidRDefault="00CE0E75">
            <w:r w:rsidRPr="009F7964">
              <w:t> </w:t>
            </w:r>
          </w:p>
        </w:tc>
      </w:tr>
      <w:tr w:rsidR="00CE0E75" w:rsidRPr="009F7964" w14:paraId="3F4A2C85" w14:textId="77777777" w:rsidTr="00DF7F0F">
        <w:trPr>
          <w:trHeight w:val="285"/>
        </w:trPr>
        <w:tc>
          <w:tcPr>
            <w:tcW w:w="4675" w:type="dxa"/>
            <w:noWrap/>
            <w:hideMark/>
          </w:tcPr>
          <w:p w14:paraId="025CA75F" w14:textId="5883704C" w:rsidR="00CE0E75" w:rsidRPr="009F7964" w:rsidRDefault="00CE0E75">
            <w:r w:rsidRPr="009F7964">
              <w:t>Deacon Parish Salary (Jan</w:t>
            </w:r>
            <w:r>
              <w:t xml:space="preserve"> 15</w:t>
            </w:r>
            <w:r w:rsidRPr="0059614E">
              <w:rPr>
                <w:vertAlign w:val="superscript"/>
              </w:rPr>
              <w:t>th</w:t>
            </w:r>
            <w:r w:rsidR="000347E7">
              <w:t xml:space="preserve"> – </w:t>
            </w:r>
            <w:r w:rsidRPr="009F7964">
              <w:t>May)</w:t>
            </w:r>
          </w:p>
        </w:tc>
        <w:tc>
          <w:tcPr>
            <w:tcW w:w="1890" w:type="dxa"/>
            <w:noWrap/>
            <w:hideMark/>
          </w:tcPr>
          <w:p w14:paraId="378D93A5" w14:textId="3F8F6A6D" w:rsidR="00CE0E75" w:rsidRPr="009F7964" w:rsidRDefault="00CE0E75">
            <w:r w:rsidRPr="009F7964">
              <w:t>$</w:t>
            </w:r>
            <w:r w:rsidR="00D21D32" w:rsidRPr="00D21D32">
              <w:t>8</w:t>
            </w:r>
            <w:r w:rsidR="00D21D32">
              <w:t>,</w:t>
            </w:r>
            <w:r w:rsidR="00D21D32" w:rsidRPr="00D21D32">
              <w:t>355</w:t>
            </w:r>
            <w:r w:rsidR="00D21D32">
              <w:t>.00</w:t>
            </w:r>
          </w:p>
        </w:tc>
        <w:tc>
          <w:tcPr>
            <w:tcW w:w="1710" w:type="dxa"/>
            <w:noWrap/>
            <w:hideMark/>
          </w:tcPr>
          <w:p w14:paraId="4D65FA42" w14:textId="77777777" w:rsidR="00CE0E75" w:rsidRPr="009F7964" w:rsidRDefault="00CE0E75">
            <w:r w:rsidRPr="009F7964">
              <w:t> </w:t>
            </w:r>
          </w:p>
        </w:tc>
        <w:tc>
          <w:tcPr>
            <w:tcW w:w="1494" w:type="dxa"/>
            <w:noWrap/>
            <w:hideMark/>
          </w:tcPr>
          <w:p w14:paraId="67C9AEF7" w14:textId="77777777" w:rsidR="00CE0E75" w:rsidRPr="009F7964" w:rsidRDefault="00CE0E75">
            <w:r w:rsidRPr="009F7964">
              <w:t> </w:t>
            </w:r>
          </w:p>
        </w:tc>
      </w:tr>
      <w:tr w:rsidR="00CE0E75" w:rsidRPr="009F7964" w14:paraId="26CD84F0" w14:textId="77777777" w:rsidTr="00DF7F0F">
        <w:trPr>
          <w:trHeight w:val="285"/>
        </w:trPr>
        <w:tc>
          <w:tcPr>
            <w:tcW w:w="4675" w:type="dxa"/>
            <w:noWrap/>
            <w:hideMark/>
          </w:tcPr>
          <w:p w14:paraId="1B9ACEA6" w14:textId="494DE236" w:rsidR="00CE0E75" w:rsidRPr="009F7964" w:rsidRDefault="00CE0E75">
            <w:r w:rsidRPr="009F7964">
              <w:t>Priest Salary (Jun</w:t>
            </w:r>
            <w:r w:rsidR="00F64136">
              <w:t xml:space="preserve"> after Priest Ordination</w:t>
            </w:r>
            <w:r w:rsidRPr="009F7964">
              <w:t>)</w:t>
            </w:r>
          </w:p>
        </w:tc>
        <w:tc>
          <w:tcPr>
            <w:tcW w:w="1890" w:type="dxa"/>
            <w:noWrap/>
            <w:hideMark/>
          </w:tcPr>
          <w:p w14:paraId="1CF6721A" w14:textId="77777777" w:rsidR="00CE0E75" w:rsidRPr="009F7964" w:rsidRDefault="00CE0E75">
            <w:r w:rsidRPr="009F7964">
              <w:t> </w:t>
            </w:r>
          </w:p>
        </w:tc>
        <w:tc>
          <w:tcPr>
            <w:tcW w:w="1710" w:type="dxa"/>
            <w:noWrap/>
            <w:hideMark/>
          </w:tcPr>
          <w:p w14:paraId="358400F9" w14:textId="77777777" w:rsidR="00CE0E75" w:rsidRPr="009F7964" w:rsidRDefault="00CE0E75">
            <w:r w:rsidRPr="009F7964">
              <w:t> </w:t>
            </w:r>
          </w:p>
        </w:tc>
        <w:tc>
          <w:tcPr>
            <w:tcW w:w="1494" w:type="dxa"/>
            <w:noWrap/>
            <w:hideMark/>
          </w:tcPr>
          <w:p w14:paraId="11CED754" w14:textId="5038084B" w:rsidR="00960E24" w:rsidRPr="0086712C" w:rsidRDefault="00943DC2" w:rsidP="00960E24">
            <w:r>
              <w:t>$</w:t>
            </w:r>
            <w:r w:rsidRPr="0086712C">
              <w:t>2,785.00</w:t>
            </w:r>
          </w:p>
          <w:p w14:paraId="67905303" w14:textId="33109AEB" w:rsidR="00CE0E75" w:rsidRPr="009F7964" w:rsidRDefault="00CE0E75"/>
        </w:tc>
      </w:tr>
      <w:tr w:rsidR="00CE0E75" w:rsidRPr="009F7964" w14:paraId="6A211D8C" w14:textId="77777777" w:rsidTr="00DF7F0F">
        <w:trPr>
          <w:trHeight w:val="285"/>
        </w:trPr>
        <w:tc>
          <w:tcPr>
            <w:tcW w:w="4675" w:type="dxa"/>
            <w:noWrap/>
            <w:hideMark/>
          </w:tcPr>
          <w:p w14:paraId="3571C5C7" w14:textId="72190A00" w:rsidR="00CE0E75" w:rsidRPr="009F7964" w:rsidRDefault="00CE0E75">
            <w:r w:rsidRPr="009F7964">
              <w:t>Priest Ac</w:t>
            </w:r>
            <w:r>
              <w:t>c</w:t>
            </w:r>
            <w:r w:rsidRPr="009F7964">
              <w:t>ountable Plan (Half of the Year)</w:t>
            </w:r>
          </w:p>
        </w:tc>
        <w:tc>
          <w:tcPr>
            <w:tcW w:w="1890" w:type="dxa"/>
            <w:noWrap/>
            <w:hideMark/>
          </w:tcPr>
          <w:p w14:paraId="68BD2DEB" w14:textId="4C3966B7" w:rsidR="00CE0E75" w:rsidRPr="009F7964" w:rsidRDefault="00CE0E75">
            <w:r w:rsidRPr="009F7964">
              <w:t xml:space="preserve">$2,150.00 </w:t>
            </w:r>
          </w:p>
        </w:tc>
        <w:tc>
          <w:tcPr>
            <w:tcW w:w="1710" w:type="dxa"/>
            <w:noWrap/>
            <w:hideMark/>
          </w:tcPr>
          <w:p w14:paraId="3C978D47" w14:textId="77777777" w:rsidR="00CE0E75" w:rsidRPr="009F7964" w:rsidRDefault="00CE0E75">
            <w:r w:rsidRPr="009F7964">
              <w:t> </w:t>
            </w:r>
          </w:p>
        </w:tc>
        <w:tc>
          <w:tcPr>
            <w:tcW w:w="1494" w:type="dxa"/>
            <w:noWrap/>
            <w:hideMark/>
          </w:tcPr>
          <w:p w14:paraId="1724641B" w14:textId="77777777" w:rsidR="00CE0E75" w:rsidRPr="009F7964" w:rsidRDefault="00CE0E75">
            <w:r w:rsidRPr="009F7964">
              <w:t> </w:t>
            </w:r>
          </w:p>
        </w:tc>
      </w:tr>
      <w:tr w:rsidR="00A377E5" w:rsidRPr="009F7964" w14:paraId="35A2BC0B" w14:textId="77777777" w:rsidTr="00DF7F0F">
        <w:trPr>
          <w:trHeight w:val="285"/>
        </w:trPr>
        <w:tc>
          <w:tcPr>
            <w:tcW w:w="4675" w:type="dxa"/>
            <w:noWrap/>
          </w:tcPr>
          <w:p w14:paraId="641C5095" w14:textId="73F0DFE7" w:rsidR="00A377E5" w:rsidRPr="009F7964" w:rsidRDefault="00A377E5">
            <w:r>
              <w:t>Continu</w:t>
            </w:r>
            <w:r w:rsidR="007A70FD">
              <w:t>ing Education (~Half of Allowance)</w:t>
            </w:r>
          </w:p>
        </w:tc>
        <w:tc>
          <w:tcPr>
            <w:tcW w:w="1890" w:type="dxa"/>
            <w:noWrap/>
          </w:tcPr>
          <w:p w14:paraId="2D4C53A0" w14:textId="32EB46E9" w:rsidR="00A377E5" w:rsidRPr="009F7964" w:rsidRDefault="007A70FD">
            <w:r>
              <w:t>$1,000.00</w:t>
            </w:r>
          </w:p>
        </w:tc>
        <w:tc>
          <w:tcPr>
            <w:tcW w:w="1710" w:type="dxa"/>
            <w:noWrap/>
          </w:tcPr>
          <w:p w14:paraId="6430DF63" w14:textId="77777777" w:rsidR="00A377E5" w:rsidRPr="009F7964" w:rsidRDefault="00A377E5"/>
        </w:tc>
        <w:tc>
          <w:tcPr>
            <w:tcW w:w="1494" w:type="dxa"/>
            <w:noWrap/>
          </w:tcPr>
          <w:p w14:paraId="41F6D6FF" w14:textId="77777777" w:rsidR="00A377E5" w:rsidRPr="009F7964" w:rsidRDefault="00A377E5"/>
        </w:tc>
      </w:tr>
      <w:tr w:rsidR="00CE0E75" w:rsidRPr="009F7964" w14:paraId="060B05F5" w14:textId="77777777" w:rsidTr="00DF7F0F">
        <w:trPr>
          <w:trHeight w:val="285"/>
        </w:trPr>
        <w:tc>
          <w:tcPr>
            <w:tcW w:w="4675" w:type="dxa"/>
            <w:noWrap/>
          </w:tcPr>
          <w:p w14:paraId="4D3087EB" w14:textId="642ABE1A" w:rsidR="00CE0E75" w:rsidRPr="009F7964" w:rsidRDefault="00CE0E75">
            <w:r>
              <w:t>Health Insurance (Jun</w:t>
            </w:r>
            <w:r w:rsidR="000347E7">
              <w:t xml:space="preserve">e – </w:t>
            </w:r>
            <w:r w:rsidR="00155466">
              <w:t>July</w:t>
            </w:r>
            <w:r>
              <w:t>)</w:t>
            </w:r>
          </w:p>
        </w:tc>
        <w:tc>
          <w:tcPr>
            <w:tcW w:w="1890" w:type="dxa"/>
            <w:noWrap/>
          </w:tcPr>
          <w:p w14:paraId="59DB188A" w14:textId="6CEBEBCD" w:rsidR="00CE0E75" w:rsidRPr="009F7964" w:rsidRDefault="007A693A">
            <w:r>
              <w:t>$</w:t>
            </w:r>
            <w:r w:rsidRPr="0086712C">
              <w:t>1</w:t>
            </w:r>
            <w:r w:rsidR="0086712C" w:rsidRPr="0086712C">
              <w:t>,</w:t>
            </w:r>
            <w:r w:rsidRPr="0086712C">
              <w:t>583.33</w:t>
            </w:r>
          </w:p>
        </w:tc>
        <w:tc>
          <w:tcPr>
            <w:tcW w:w="1710" w:type="dxa"/>
            <w:noWrap/>
          </w:tcPr>
          <w:p w14:paraId="454952A1" w14:textId="77777777" w:rsidR="00CE0E75" w:rsidRPr="009F7964" w:rsidRDefault="00CE0E75"/>
        </w:tc>
        <w:tc>
          <w:tcPr>
            <w:tcW w:w="1494" w:type="dxa"/>
            <w:noWrap/>
          </w:tcPr>
          <w:p w14:paraId="2AD69B28" w14:textId="25C7A407" w:rsidR="00CE0E75" w:rsidRPr="0086712C" w:rsidRDefault="00CE0E75" w:rsidP="007A693A"/>
        </w:tc>
      </w:tr>
      <w:tr w:rsidR="00CE0E75" w:rsidRPr="009F7964" w14:paraId="77C10F88" w14:textId="77777777" w:rsidTr="00DF7F0F">
        <w:trPr>
          <w:trHeight w:val="285"/>
        </w:trPr>
        <w:tc>
          <w:tcPr>
            <w:tcW w:w="4675" w:type="dxa"/>
            <w:noWrap/>
            <w:hideMark/>
          </w:tcPr>
          <w:p w14:paraId="1377777A" w14:textId="0D2A4EC4" w:rsidR="00CE0E75" w:rsidRPr="009F7964" w:rsidRDefault="00CE0E75">
            <w:r w:rsidRPr="009F7964">
              <w:t>Health Insurance (</w:t>
            </w:r>
            <w:r w:rsidR="000347E7">
              <w:t xml:space="preserve">August – </w:t>
            </w:r>
            <w:r w:rsidRPr="009F7964">
              <w:t>Dec</w:t>
            </w:r>
            <w:r w:rsidR="000347E7">
              <w:t>ember</w:t>
            </w:r>
            <w:r w:rsidRPr="009F7964">
              <w:t>)</w:t>
            </w:r>
          </w:p>
        </w:tc>
        <w:tc>
          <w:tcPr>
            <w:tcW w:w="1890" w:type="dxa"/>
            <w:noWrap/>
            <w:hideMark/>
          </w:tcPr>
          <w:p w14:paraId="692F4135" w14:textId="77777777" w:rsidR="00CE0E75" w:rsidRPr="009F7964" w:rsidRDefault="00CE0E75">
            <w:r w:rsidRPr="009F7964">
              <w:t> </w:t>
            </w:r>
          </w:p>
        </w:tc>
        <w:tc>
          <w:tcPr>
            <w:tcW w:w="1710" w:type="dxa"/>
            <w:noWrap/>
            <w:hideMark/>
          </w:tcPr>
          <w:p w14:paraId="54E58FCE" w14:textId="66D74E83" w:rsidR="00CE0E75" w:rsidRPr="009F7964" w:rsidRDefault="00CC2200">
            <w:r>
              <w:t>$</w:t>
            </w:r>
            <w:r w:rsidRPr="00CC2200">
              <w:t>3</w:t>
            </w:r>
            <w:r w:rsidR="0086712C">
              <w:t>,</w:t>
            </w:r>
            <w:r w:rsidRPr="00CC2200">
              <w:t>958.33</w:t>
            </w:r>
          </w:p>
        </w:tc>
        <w:tc>
          <w:tcPr>
            <w:tcW w:w="1494" w:type="dxa"/>
            <w:noWrap/>
            <w:hideMark/>
          </w:tcPr>
          <w:p w14:paraId="4B7C39C5" w14:textId="77777777" w:rsidR="00CE0E75" w:rsidRPr="009F7964" w:rsidRDefault="00CE0E75">
            <w:r w:rsidRPr="009F7964">
              <w:t> </w:t>
            </w:r>
          </w:p>
        </w:tc>
      </w:tr>
      <w:tr w:rsidR="00CE0E75" w:rsidRPr="009F7964" w14:paraId="7EA693BA" w14:textId="77777777" w:rsidTr="00DF7F0F">
        <w:trPr>
          <w:trHeight w:val="285"/>
        </w:trPr>
        <w:tc>
          <w:tcPr>
            <w:tcW w:w="4675" w:type="dxa"/>
            <w:noWrap/>
            <w:hideMark/>
          </w:tcPr>
          <w:p w14:paraId="447DD3DC" w14:textId="0860B26B" w:rsidR="00CE0E75" w:rsidRPr="009F7964" w:rsidRDefault="00CE0E75">
            <w:r w:rsidRPr="009F7964">
              <w:t>Health Insurance (Jan</w:t>
            </w:r>
            <w:r w:rsidR="00CC2200">
              <w:t xml:space="preserve">uary – </w:t>
            </w:r>
            <w:r w:rsidRPr="009F7964">
              <w:t>May)</w:t>
            </w:r>
          </w:p>
        </w:tc>
        <w:tc>
          <w:tcPr>
            <w:tcW w:w="1890" w:type="dxa"/>
            <w:noWrap/>
            <w:hideMark/>
          </w:tcPr>
          <w:p w14:paraId="2A3577B7" w14:textId="5126682D" w:rsidR="00CE0E75" w:rsidRPr="009F7964" w:rsidRDefault="00CE0E75">
            <w:r w:rsidRPr="009F7964">
              <w:t>$</w:t>
            </w:r>
            <w:r w:rsidR="00390376" w:rsidRPr="00390376">
              <w:t>3,958.33</w:t>
            </w:r>
          </w:p>
        </w:tc>
        <w:tc>
          <w:tcPr>
            <w:tcW w:w="1710" w:type="dxa"/>
            <w:noWrap/>
            <w:hideMark/>
          </w:tcPr>
          <w:p w14:paraId="603E6452" w14:textId="77777777" w:rsidR="00CE0E75" w:rsidRPr="009F7964" w:rsidRDefault="00CE0E75">
            <w:r w:rsidRPr="009F7964">
              <w:t> </w:t>
            </w:r>
          </w:p>
        </w:tc>
        <w:tc>
          <w:tcPr>
            <w:tcW w:w="1494" w:type="dxa"/>
            <w:noWrap/>
            <w:hideMark/>
          </w:tcPr>
          <w:p w14:paraId="6E1D8C91" w14:textId="77777777" w:rsidR="00CE0E75" w:rsidRPr="009F7964" w:rsidRDefault="00CE0E75">
            <w:r w:rsidRPr="009F7964">
              <w:t> </w:t>
            </w:r>
          </w:p>
        </w:tc>
      </w:tr>
      <w:tr w:rsidR="00CE0E75" w:rsidRPr="009F7964" w14:paraId="31332802" w14:textId="77777777" w:rsidTr="00DF7F0F">
        <w:trPr>
          <w:trHeight w:val="285"/>
        </w:trPr>
        <w:tc>
          <w:tcPr>
            <w:tcW w:w="4675" w:type="dxa"/>
            <w:noWrap/>
            <w:hideMark/>
          </w:tcPr>
          <w:p w14:paraId="577E4CEA" w14:textId="00A97723" w:rsidR="00CE0E75" w:rsidRPr="009F7964" w:rsidRDefault="00CE0E75">
            <w:r w:rsidRPr="009F7964">
              <w:t>Health Insurance (Jun</w:t>
            </w:r>
            <w:r w:rsidR="00CC2200">
              <w:t>e</w:t>
            </w:r>
            <w:r w:rsidR="001F0513">
              <w:t xml:space="preserve"> after Priest Ordination</w:t>
            </w:r>
            <w:r w:rsidRPr="009F7964">
              <w:t>)</w:t>
            </w:r>
          </w:p>
        </w:tc>
        <w:tc>
          <w:tcPr>
            <w:tcW w:w="1890" w:type="dxa"/>
            <w:noWrap/>
            <w:hideMark/>
          </w:tcPr>
          <w:p w14:paraId="2359A113" w14:textId="77777777" w:rsidR="00CE0E75" w:rsidRPr="009F7964" w:rsidRDefault="00CE0E75">
            <w:r w:rsidRPr="009F7964">
              <w:t> </w:t>
            </w:r>
          </w:p>
        </w:tc>
        <w:tc>
          <w:tcPr>
            <w:tcW w:w="1710" w:type="dxa"/>
            <w:noWrap/>
            <w:hideMark/>
          </w:tcPr>
          <w:p w14:paraId="4085173D" w14:textId="77777777" w:rsidR="00CE0E75" w:rsidRPr="009F7964" w:rsidRDefault="00CE0E75">
            <w:r w:rsidRPr="009F7964">
              <w:t> </w:t>
            </w:r>
          </w:p>
        </w:tc>
        <w:tc>
          <w:tcPr>
            <w:tcW w:w="1494" w:type="dxa"/>
            <w:noWrap/>
            <w:hideMark/>
          </w:tcPr>
          <w:p w14:paraId="4B770CCE" w14:textId="7140F2B3" w:rsidR="00CE0E75" w:rsidRPr="009F7964" w:rsidRDefault="00CE0E75">
            <w:r w:rsidRPr="009F7964">
              <w:t xml:space="preserve"> $</w:t>
            </w:r>
            <w:r w:rsidRPr="00E077A2">
              <w:t>791.67</w:t>
            </w:r>
          </w:p>
        </w:tc>
      </w:tr>
      <w:tr w:rsidR="00CE0E75" w:rsidRPr="009F7964" w14:paraId="1F6744FE" w14:textId="77777777" w:rsidTr="00DF7F0F">
        <w:trPr>
          <w:trHeight w:val="285"/>
        </w:trPr>
        <w:tc>
          <w:tcPr>
            <w:tcW w:w="4675" w:type="dxa"/>
            <w:noWrap/>
            <w:hideMark/>
          </w:tcPr>
          <w:p w14:paraId="1292A128" w14:textId="77777777" w:rsidR="00CE0E75" w:rsidRPr="009F7964" w:rsidRDefault="00CE0E75">
            <w:r w:rsidRPr="009F7964">
              <w:t> </w:t>
            </w:r>
          </w:p>
        </w:tc>
        <w:tc>
          <w:tcPr>
            <w:tcW w:w="1890" w:type="dxa"/>
            <w:noWrap/>
            <w:hideMark/>
          </w:tcPr>
          <w:p w14:paraId="1E3D3980" w14:textId="77777777" w:rsidR="00CE0E75" w:rsidRPr="009F7964" w:rsidRDefault="00CE0E75">
            <w:r w:rsidRPr="009F7964">
              <w:t> </w:t>
            </w:r>
          </w:p>
        </w:tc>
        <w:tc>
          <w:tcPr>
            <w:tcW w:w="1710" w:type="dxa"/>
            <w:noWrap/>
            <w:hideMark/>
          </w:tcPr>
          <w:p w14:paraId="2DD39F4B" w14:textId="77777777" w:rsidR="00CE0E75" w:rsidRPr="009F7964" w:rsidRDefault="00CE0E75">
            <w:r w:rsidRPr="009F7964">
              <w:t> </w:t>
            </w:r>
          </w:p>
        </w:tc>
        <w:tc>
          <w:tcPr>
            <w:tcW w:w="1494" w:type="dxa"/>
            <w:noWrap/>
            <w:hideMark/>
          </w:tcPr>
          <w:p w14:paraId="5E7A9306" w14:textId="77777777" w:rsidR="00CE0E75" w:rsidRPr="009F7964" w:rsidRDefault="00CE0E75">
            <w:r w:rsidRPr="009F7964">
              <w:t> </w:t>
            </w:r>
          </w:p>
        </w:tc>
      </w:tr>
      <w:tr w:rsidR="00CE0E75" w:rsidRPr="009F7964" w14:paraId="1E9F25AB" w14:textId="77777777" w:rsidTr="00DF7F0F">
        <w:trPr>
          <w:trHeight w:val="285"/>
        </w:trPr>
        <w:tc>
          <w:tcPr>
            <w:tcW w:w="4675" w:type="dxa"/>
            <w:noWrap/>
            <w:hideMark/>
          </w:tcPr>
          <w:p w14:paraId="57CE88C2" w14:textId="77777777" w:rsidR="00CE0E75" w:rsidRPr="009F7964" w:rsidRDefault="00CE0E75">
            <w:pPr>
              <w:rPr>
                <w:b/>
                <w:bCs/>
              </w:rPr>
            </w:pPr>
            <w:r w:rsidRPr="009F7964">
              <w:rPr>
                <w:b/>
                <w:bCs/>
              </w:rPr>
              <w:t>Total Expense During Vocational Synthesis Year</w:t>
            </w:r>
          </w:p>
        </w:tc>
        <w:tc>
          <w:tcPr>
            <w:tcW w:w="1890" w:type="dxa"/>
            <w:noWrap/>
            <w:hideMark/>
          </w:tcPr>
          <w:p w14:paraId="29615511" w14:textId="6F6B1466" w:rsidR="00CE0E75" w:rsidRPr="009F7964" w:rsidRDefault="00CE0E75">
            <w:pPr>
              <w:rPr>
                <w:b/>
                <w:bCs/>
              </w:rPr>
            </w:pPr>
            <w:r w:rsidRPr="009F7964">
              <w:rPr>
                <w:b/>
                <w:bCs/>
              </w:rPr>
              <w:t xml:space="preserve"> $</w:t>
            </w:r>
            <w:r w:rsidR="007A70FD">
              <w:rPr>
                <w:b/>
                <w:bCs/>
              </w:rPr>
              <w:t>20</w:t>
            </w:r>
            <w:r w:rsidR="00D46D27" w:rsidRPr="00D46D27">
              <w:rPr>
                <w:b/>
                <w:bCs/>
              </w:rPr>
              <w:t>,759.99</w:t>
            </w:r>
          </w:p>
        </w:tc>
        <w:tc>
          <w:tcPr>
            <w:tcW w:w="1710" w:type="dxa"/>
            <w:noWrap/>
            <w:hideMark/>
          </w:tcPr>
          <w:p w14:paraId="160937CF" w14:textId="5A8854FC" w:rsidR="00CE0E75" w:rsidRPr="009F7964" w:rsidRDefault="00CE0E75">
            <w:pPr>
              <w:rPr>
                <w:b/>
                <w:bCs/>
              </w:rPr>
            </w:pPr>
            <w:r w:rsidRPr="009F7964">
              <w:rPr>
                <w:b/>
                <w:bCs/>
              </w:rPr>
              <w:t xml:space="preserve"> </w:t>
            </w:r>
            <w:r w:rsidR="00595F16" w:rsidRPr="00595F16">
              <w:rPr>
                <w:b/>
                <w:bCs/>
              </w:rPr>
              <w:t>$</w:t>
            </w:r>
            <w:r w:rsidR="008552A2" w:rsidRPr="008552A2">
              <w:rPr>
                <w:b/>
                <w:bCs/>
              </w:rPr>
              <w:t>8,083.33</w:t>
            </w:r>
          </w:p>
        </w:tc>
        <w:tc>
          <w:tcPr>
            <w:tcW w:w="1494" w:type="dxa"/>
            <w:noWrap/>
            <w:hideMark/>
          </w:tcPr>
          <w:p w14:paraId="1AB14B36" w14:textId="23DAAB6A" w:rsidR="00CE0E75" w:rsidRPr="009F7964" w:rsidRDefault="00CE0E75">
            <w:pPr>
              <w:rPr>
                <w:b/>
                <w:bCs/>
              </w:rPr>
            </w:pPr>
            <w:r w:rsidRPr="009F7964">
              <w:rPr>
                <w:b/>
                <w:bCs/>
              </w:rPr>
              <w:t xml:space="preserve"> $</w:t>
            </w:r>
            <w:r w:rsidR="00A81598" w:rsidRPr="00A81598">
              <w:rPr>
                <w:b/>
                <w:bCs/>
              </w:rPr>
              <w:t>3,576.67</w:t>
            </w:r>
          </w:p>
        </w:tc>
      </w:tr>
    </w:tbl>
    <w:p w14:paraId="59EF2880" w14:textId="3728B4B8" w:rsidR="009F7964" w:rsidRPr="00DD1995" w:rsidRDefault="00310E91" w:rsidP="00613811">
      <w:pPr>
        <w:jc w:val="center"/>
        <w:rPr>
          <w:sz w:val="28"/>
          <w:szCs w:val="28"/>
        </w:rPr>
      </w:pPr>
      <w:r>
        <w:rPr>
          <w:sz w:val="28"/>
          <w:szCs w:val="28"/>
        </w:rPr>
        <w:lastRenderedPageBreak/>
        <w:t xml:space="preserve">Estimated </w:t>
      </w:r>
      <w:r w:rsidR="009F7964" w:rsidRPr="00DD1995">
        <w:rPr>
          <w:sz w:val="28"/>
          <w:szCs w:val="28"/>
        </w:rPr>
        <w:t xml:space="preserve">Total Remuneration Given to </w:t>
      </w:r>
      <w:r w:rsidR="00431FE7">
        <w:rPr>
          <w:sz w:val="28"/>
          <w:szCs w:val="28"/>
        </w:rPr>
        <w:t xml:space="preserve">a </w:t>
      </w:r>
      <w:r w:rsidR="009F7964" w:rsidRPr="00DD1995">
        <w:rPr>
          <w:sz w:val="28"/>
          <w:szCs w:val="28"/>
        </w:rPr>
        <w:t xml:space="preserve">Transitional Deacon </w:t>
      </w:r>
      <w:r w:rsidR="00431FE7">
        <w:rPr>
          <w:sz w:val="28"/>
          <w:szCs w:val="28"/>
        </w:rPr>
        <w:t>from Diaconate Ordination until Start of Priesthood Assignment</w:t>
      </w:r>
      <w:r w:rsidR="00DD1995">
        <w:rPr>
          <w:sz w:val="28"/>
          <w:szCs w:val="28"/>
        </w:rPr>
        <w:t>:</w:t>
      </w:r>
    </w:p>
    <w:tbl>
      <w:tblPr>
        <w:tblStyle w:val="TableGrid"/>
        <w:tblW w:w="0" w:type="auto"/>
        <w:tblLook w:val="04A0" w:firstRow="1" w:lastRow="0" w:firstColumn="1" w:lastColumn="0" w:noHBand="0" w:noVBand="1"/>
      </w:tblPr>
      <w:tblGrid>
        <w:gridCol w:w="4700"/>
        <w:gridCol w:w="3188"/>
      </w:tblGrid>
      <w:tr w:rsidR="009F7964" w:rsidRPr="009F7964" w14:paraId="794BE51E" w14:textId="77777777" w:rsidTr="009F7964">
        <w:trPr>
          <w:trHeight w:val="285"/>
        </w:trPr>
        <w:tc>
          <w:tcPr>
            <w:tcW w:w="4700" w:type="dxa"/>
            <w:noWrap/>
            <w:hideMark/>
          </w:tcPr>
          <w:p w14:paraId="13A8C2F0" w14:textId="77777777" w:rsidR="009F7964" w:rsidRPr="009F7964" w:rsidRDefault="009F7964">
            <w:r w:rsidRPr="009F7964">
              <w:t>Salary (Jun-Jun - 13 months)</w:t>
            </w:r>
          </w:p>
        </w:tc>
        <w:tc>
          <w:tcPr>
            <w:tcW w:w="3188" w:type="dxa"/>
            <w:noWrap/>
            <w:hideMark/>
          </w:tcPr>
          <w:p w14:paraId="4C4B215E" w14:textId="726F5E80" w:rsidR="009F7964" w:rsidRPr="009F7964" w:rsidRDefault="009F7964">
            <w:r w:rsidRPr="009F7964">
              <w:t xml:space="preserve"> </w:t>
            </w:r>
            <w:r w:rsidR="0056015D" w:rsidRPr="0056015D">
              <w:t>$</w:t>
            </w:r>
            <w:r w:rsidR="00FD5448" w:rsidRPr="00FD5448">
              <w:t>18,978.33</w:t>
            </w:r>
          </w:p>
        </w:tc>
      </w:tr>
      <w:tr w:rsidR="009F7964" w:rsidRPr="009F7964" w14:paraId="5C0B7F32" w14:textId="77777777" w:rsidTr="009F7964">
        <w:trPr>
          <w:trHeight w:val="285"/>
        </w:trPr>
        <w:tc>
          <w:tcPr>
            <w:tcW w:w="4700" w:type="dxa"/>
            <w:noWrap/>
            <w:hideMark/>
          </w:tcPr>
          <w:p w14:paraId="6FA1A529" w14:textId="77777777" w:rsidR="009F7964" w:rsidRPr="009F7964" w:rsidRDefault="009F7964">
            <w:r w:rsidRPr="009F7964">
              <w:t>Priest Accountable Benefits (Jul-Jun)</w:t>
            </w:r>
          </w:p>
        </w:tc>
        <w:tc>
          <w:tcPr>
            <w:tcW w:w="3188" w:type="dxa"/>
            <w:noWrap/>
            <w:hideMark/>
          </w:tcPr>
          <w:p w14:paraId="2749FA13" w14:textId="192CEFA1" w:rsidR="009F7964" w:rsidRPr="009F7964" w:rsidRDefault="009F7964">
            <w:r w:rsidRPr="009F7964">
              <w:t xml:space="preserve"> $</w:t>
            </w:r>
            <w:r w:rsidR="007A70FD">
              <w:t>3</w:t>
            </w:r>
            <w:r w:rsidRPr="009F7964">
              <w:t>,150.00</w:t>
            </w:r>
          </w:p>
        </w:tc>
      </w:tr>
      <w:tr w:rsidR="009F7964" w:rsidRPr="009F7964" w14:paraId="7EA6144E" w14:textId="77777777" w:rsidTr="009F7964">
        <w:trPr>
          <w:trHeight w:val="285"/>
        </w:trPr>
        <w:tc>
          <w:tcPr>
            <w:tcW w:w="4700" w:type="dxa"/>
            <w:noWrap/>
            <w:hideMark/>
          </w:tcPr>
          <w:p w14:paraId="401B8844" w14:textId="77777777" w:rsidR="009F7964" w:rsidRPr="009F7964" w:rsidRDefault="009F7964">
            <w:r w:rsidRPr="009F7964">
              <w:t>Health Insurance Benefits (Jul-Jun)</w:t>
            </w:r>
          </w:p>
        </w:tc>
        <w:tc>
          <w:tcPr>
            <w:tcW w:w="3188" w:type="dxa"/>
            <w:noWrap/>
            <w:hideMark/>
          </w:tcPr>
          <w:p w14:paraId="7B477024" w14:textId="7793D612" w:rsidR="009F7964" w:rsidRPr="009F7964" w:rsidRDefault="009F7964">
            <w:r w:rsidRPr="009F7964">
              <w:t xml:space="preserve"> $</w:t>
            </w:r>
            <w:r w:rsidR="00BA4EB3" w:rsidRPr="00BA4EB3">
              <w:t>10,291.66</w:t>
            </w:r>
          </w:p>
        </w:tc>
      </w:tr>
      <w:tr w:rsidR="009F7964" w:rsidRPr="009F7964" w14:paraId="2C138706" w14:textId="77777777" w:rsidTr="009F7964">
        <w:trPr>
          <w:trHeight w:val="285"/>
        </w:trPr>
        <w:tc>
          <w:tcPr>
            <w:tcW w:w="4700" w:type="dxa"/>
            <w:noWrap/>
            <w:hideMark/>
          </w:tcPr>
          <w:p w14:paraId="4465DEA9" w14:textId="77777777" w:rsidR="009F7964" w:rsidRPr="009F7964" w:rsidRDefault="009F7964">
            <w:r w:rsidRPr="009F7964">
              <w:t> </w:t>
            </w:r>
          </w:p>
        </w:tc>
        <w:tc>
          <w:tcPr>
            <w:tcW w:w="3188" w:type="dxa"/>
            <w:noWrap/>
            <w:hideMark/>
          </w:tcPr>
          <w:p w14:paraId="131BC9A5" w14:textId="77777777" w:rsidR="009F7964" w:rsidRPr="009F7964" w:rsidRDefault="009F7964">
            <w:r w:rsidRPr="009F7964">
              <w:t> </w:t>
            </w:r>
          </w:p>
        </w:tc>
      </w:tr>
      <w:tr w:rsidR="009F7964" w:rsidRPr="009F7964" w14:paraId="411D3773" w14:textId="77777777" w:rsidTr="009F7964">
        <w:trPr>
          <w:trHeight w:val="285"/>
        </w:trPr>
        <w:tc>
          <w:tcPr>
            <w:tcW w:w="4700" w:type="dxa"/>
            <w:noWrap/>
            <w:hideMark/>
          </w:tcPr>
          <w:p w14:paraId="042FC0FB" w14:textId="77777777" w:rsidR="009F7964" w:rsidRPr="009F7964" w:rsidRDefault="009F7964">
            <w:pPr>
              <w:rPr>
                <w:b/>
                <w:bCs/>
              </w:rPr>
            </w:pPr>
            <w:r w:rsidRPr="009F7964">
              <w:rPr>
                <w:b/>
                <w:bCs/>
              </w:rPr>
              <w:t>Total</w:t>
            </w:r>
          </w:p>
        </w:tc>
        <w:tc>
          <w:tcPr>
            <w:tcW w:w="3188" w:type="dxa"/>
            <w:noWrap/>
            <w:hideMark/>
          </w:tcPr>
          <w:p w14:paraId="370B21D2" w14:textId="7E022324" w:rsidR="009F7964" w:rsidRPr="009F7964" w:rsidRDefault="009F7964">
            <w:pPr>
              <w:rPr>
                <w:b/>
                <w:bCs/>
              </w:rPr>
            </w:pPr>
            <w:r w:rsidRPr="009F7964">
              <w:rPr>
                <w:b/>
                <w:bCs/>
              </w:rPr>
              <w:t xml:space="preserve"> </w:t>
            </w:r>
            <w:r w:rsidR="00F43916" w:rsidRPr="00F43916">
              <w:rPr>
                <w:b/>
                <w:bCs/>
              </w:rPr>
              <w:t>$</w:t>
            </w:r>
            <w:r w:rsidR="003C48FB" w:rsidRPr="003C48FB">
              <w:rPr>
                <w:b/>
                <w:bCs/>
              </w:rPr>
              <w:t>32,419.99</w:t>
            </w:r>
          </w:p>
        </w:tc>
      </w:tr>
    </w:tbl>
    <w:p w14:paraId="3CD0A48E" w14:textId="77777777" w:rsidR="009F7964" w:rsidRDefault="009F7964" w:rsidP="005B5278"/>
    <w:sectPr w:rsidR="009F79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0242" w14:textId="77777777" w:rsidR="000A7CF4" w:rsidRDefault="000A7CF4" w:rsidP="00E91FF2">
      <w:pPr>
        <w:spacing w:after="0" w:line="240" w:lineRule="auto"/>
      </w:pPr>
      <w:r>
        <w:separator/>
      </w:r>
    </w:p>
  </w:endnote>
  <w:endnote w:type="continuationSeparator" w:id="0">
    <w:p w14:paraId="3C8CE035" w14:textId="77777777" w:rsidR="000A7CF4" w:rsidRDefault="000A7CF4" w:rsidP="00E9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B12F" w14:textId="77777777" w:rsidR="000A7CF4" w:rsidRDefault="000A7CF4" w:rsidP="00E91FF2">
      <w:pPr>
        <w:spacing w:after="0" w:line="240" w:lineRule="auto"/>
      </w:pPr>
      <w:r>
        <w:separator/>
      </w:r>
    </w:p>
  </w:footnote>
  <w:footnote w:type="continuationSeparator" w:id="0">
    <w:p w14:paraId="667F5571" w14:textId="77777777" w:rsidR="000A7CF4" w:rsidRDefault="000A7CF4" w:rsidP="00E91FF2">
      <w:pPr>
        <w:spacing w:after="0" w:line="240" w:lineRule="auto"/>
      </w:pPr>
      <w:r>
        <w:continuationSeparator/>
      </w:r>
    </w:p>
  </w:footnote>
  <w:footnote w:id="1">
    <w:p w14:paraId="5E6587B9" w14:textId="6A1351C8" w:rsidR="00DA6F41" w:rsidRDefault="00DA6F41">
      <w:pPr>
        <w:pStyle w:val="FootnoteText"/>
      </w:pPr>
      <w:r>
        <w:rPr>
          <w:rStyle w:val="FootnoteReference"/>
        </w:rPr>
        <w:footnoteRef/>
      </w:r>
      <w:r>
        <w:t xml:space="preserve"> Increased from $250 in 2024</w:t>
      </w:r>
    </w:p>
  </w:footnote>
  <w:footnote w:id="2">
    <w:p w14:paraId="0A2B086F" w14:textId="63CAAF9C" w:rsidR="00704EC2" w:rsidRDefault="00704EC2">
      <w:pPr>
        <w:pStyle w:val="FootnoteText"/>
      </w:pPr>
      <w:r>
        <w:rPr>
          <w:rStyle w:val="FootnoteReference"/>
        </w:rPr>
        <w:footnoteRef/>
      </w:r>
      <w:r>
        <w:t xml:space="preserve"> </w:t>
      </w:r>
      <w:r w:rsidR="00D0327B">
        <w:t>Increased from $500 in</w:t>
      </w:r>
      <w:r>
        <w:t xml:space="preserve"> 2025</w:t>
      </w:r>
    </w:p>
  </w:footnote>
  <w:footnote w:id="3">
    <w:p w14:paraId="74FCFAEA" w14:textId="4EEA2387" w:rsidR="00C20BDA" w:rsidRDefault="00C20BDA">
      <w:pPr>
        <w:pStyle w:val="FootnoteText"/>
      </w:pPr>
      <w:r>
        <w:rPr>
          <w:rStyle w:val="FootnoteReference"/>
        </w:rPr>
        <w:footnoteRef/>
      </w:r>
      <w:r>
        <w:t xml:space="preserve"> Non-St. Louis Deacons are assigned to a parish for the entire semester; however,</w:t>
      </w:r>
      <w:r w:rsidR="00BC3AAB">
        <w:t xml:space="preserve"> since deacons graduate in early December, they</w:t>
      </w:r>
      <w:r w:rsidR="000A0CB1">
        <w:t xml:space="preserve"> will only be at their parish assignment for one or two weekends.  Th</w:t>
      </w:r>
      <w:r w:rsidR="00B41E97">
        <w:t>ese weekends</w:t>
      </w:r>
      <w:r w:rsidR="000A0CB1">
        <w:t xml:space="preserve"> make up for the one or two weekends that Deacons will not be at their parish during the semester for breaks </w:t>
      </w:r>
      <w:r w:rsidR="00B41E97">
        <w:t>and</w:t>
      </w:r>
      <w:r w:rsidR="000A0CB1">
        <w:t xml:space="preserve"> seminary events.  </w:t>
      </w:r>
      <w:r w:rsidR="005A63AC">
        <w:t>For this reason</w:t>
      </w:r>
      <w:r w:rsidR="000A0CB1">
        <w:t xml:space="preserve">, non-St. Louis Deacons are paid for the months of </w:t>
      </w:r>
      <w:r w:rsidR="007D782D">
        <w:t xml:space="preserve">September through November, but not December.  </w:t>
      </w:r>
    </w:p>
  </w:footnote>
  <w:footnote w:id="4">
    <w:p w14:paraId="735FB1BB" w14:textId="5D0A3678" w:rsidR="00431D2E" w:rsidRPr="00431D2E" w:rsidRDefault="00431D2E">
      <w:pPr>
        <w:pStyle w:val="FootnoteText"/>
      </w:pPr>
      <w:r>
        <w:rPr>
          <w:rStyle w:val="FootnoteReference"/>
        </w:rPr>
        <w:footnoteRef/>
      </w:r>
      <w:r>
        <w:t xml:space="preserve"> Transitional deacons are welcome to reimburse their business mileage through the priest accountable plan.  </w:t>
      </w:r>
    </w:p>
  </w:footnote>
  <w:footnote w:id="5">
    <w:p w14:paraId="41A8A098" w14:textId="69F84453" w:rsidR="00E91FF2" w:rsidRDefault="00E91FF2">
      <w:pPr>
        <w:pStyle w:val="FootnoteText"/>
      </w:pPr>
      <w:r>
        <w:rPr>
          <w:rStyle w:val="FootnoteReference"/>
        </w:rPr>
        <w:footnoteRef/>
      </w:r>
      <w:r>
        <w:t xml:space="preserve"> Amounts in these tables are based on </w:t>
      </w:r>
      <w:r w:rsidR="00871859">
        <w:t>FY</w:t>
      </w:r>
      <w:r w:rsidR="00132B75">
        <w:t>2025-</w:t>
      </w:r>
      <w:r w:rsidR="00871859">
        <w:t xml:space="preserve">26 compensation amounts: Monthly Base Pay - </w:t>
      </w:r>
      <w:r w:rsidR="00046240">
        <w:t>$</w:t>
      </w:r>
      <w:r w:rsidR="00046240" w:rsidRPr="00046240">
        <w:t>2,785.00</w:t>
      </w:r>
      <w:r w:rsidR="00046240">
        <w:t xml:space="preserve">, PMBS </w:t>
      </w:r>
      <w:r w:rsidR="009716F9">
        <w:t xml:space="preserve">Yearly </w:t>
      </w:r>
      <w:r w:rsidR="00046240">
        <w:t>Health Insurance Assessment - $</w:t>
      </w:r>
      <w:r w:rsidR="00046240" w:rsidRPr="00046240">
        <w:t>9,500.00</w:t>
      </w:r>
      <w:r w:rsidR="009716F9">
        <w:t>, Priest Accountable Plan Yearly Reimbursement - $</w:t>
      </w:r>
      <w:r w:rsidR="00951A62">
        <w:t>4,300.00.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BB1"/>
    <w:multiLevelType w:val="hybridMultilevel"/>
    <w:tmpl w:val="4FEEE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C09BE"/>
    <w:multiLevelType w:val="hybridMultilevel"/>
    <w:tmpl w:val="C5AE3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C2D14"/>
    <w:multiLevelType w:val="hybridMultilevel"/>
    <w:tmpl w:val="F1DA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32C2B"/>
    <w:multiLevelType w:val="hybridMultilevel"/>
    <w:tmpl w:val="B0DE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4D42A7"/>
    <w:multiLevelType w:val="hybridMultilevel"/>
    <w:tmpl w:val="7CC4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080499">
    <w:abstractNumId w:val="0"/>
  </w:num>
  <w:num w:numId="2" w16cid:durableId="183325640">
    <w:abstractNumId w:val="3"/>
  </w:num>
  <w:num w:numId="3" w16cid:durableId="1842231235">
    <w:abstractNumId w:val="4"/>
  </w:num>
  <w:num w:numId="4" w16cid:durableId="2090536269">
    <w:abstractNumId w:val="2"/>
  </w:num>
  <w:num w:numId="5" w16cid:durableId="161949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88"/>
    <w:rsid w:val="000077B3"/>
    <w:rsid w:val="00010ED4"/>
    <w:rsid w:val="0001118E"/>
    <w:rsid w:val="0002156F"/>
    <w:rsid w:val="000328F7"/>
    <w:rsid w:val="000347E7"/>
    <w:rsid w:val="00040352"/>
    <w:rsid w:val="000428FD"/>
    <w:rsid w:val="00046240"/>
    <w:rsid w:val="00054F0F"/>
    <w:rsid w:val="00055750"/>
    <w:rsid w:val="000675BD"/>
    <w:rsid w:val="00083402"/>
    <w:rsid w:val="0009092B"/>
    <w:rsid w:val="0009171F"/>
    <w:rsid w:val="000A0CB1"/>
    <w:rsid w:val="000A7CF4"/>
    <w:rsid w:val="000B229D"/>
    <w:rsid w:val="000C2F8D"/>
    <w:rsid w:val="000C3C9D"/>
    <w:rsid w:val="000E47C3"/>
    <w:rsid w:val="00114E7F"/>
    <w:rsid w:val="00132B75"/>
    <w:rsid w:val="001502A3"/>
    <w:rsid w:val="00151E05"/>
    <w:rsid w:val="00155466"/>
    <w:rsid w:val="001554B1"/>
    <w:rsid w:val="001C3CFC"/>
    <w:rsid w:val="001D68B1"/>
    <w:rsid w:val="001F0513"/>
    <w:rsid w:val="00211C7A"/>
    <w:rsid w:val="00212BFB"/>
    <w:rsid w:val="00222360"/>
    <w:rsid w:val="00236290"/>
    <w:rsid w:val="0024459B"/>
    <w:rsid w:val="00247EA2"/>
    <w:rsid w:val="00253683"/>
    <w:rsid w:val="002573D8"/>
    <w:rsid w:val="00266A10"/>
    <w:rsid w:val="00273927"/>
    <w:rsid w:val="00292AFE"/>
    <w:rsid w:val="002A4FB5"/>
    <w:rsid w:val="002B19FD"/>
    <w:rsid w:val="002B4AE8"/>
    <w:rsid w:val="002C32D2"/>
    <w:rsid w:val="002D2C4F"/>
    <w:rsid w:val="002E70D5"/>
    <w:rsid w:val="0030444E"/>
    <w:rsid w:val="00310E91"/>
    <w:rsid w:val="00343EB2"/>
    <w:rsid w:val="00347446"/>
    <w:rsid w:val="00375B2D"/>
    <w:rsid w:val="00390376"/>
    <w:rsid w:val="003945AC"/>
    <w:rsid w:val="003A2ABE"/>
    <w:rsid w:val="003B63D1"/>
    <w:rsid w:val="003C3249"/>
    <w:rsid w:val="003C48FB"/>
    <w:rsid w:val="003C7D66"/>
    <w:rsid w:val="003E6D93"/>
    <w:rsid w:val="003F19DC"/>
    <w:rsid w:val="003F33FC"/>
    <w:rsid w:val="003F4C38"/>
    <w:rsid w:val="00404DF8"/>
    <w:rsid w:val="00406796"/>
    <w:rsid w:val="00407F89"/>
    <w:rsid w:val="00415358"/>
    <w:rsid w:val="00431D2E"/>
    <w:rsid w:val="00431FE7"/>
    <w:rsid w:val="0046046F"/>
    <w:rsid w:val="00471531"/>
    <w:rsid w:val="00473192"/>
    <w:rsid w:val="004738D6"/>
    <w:rsid w:val="00476AF4"/>
    <w:rsid w:val="00483224"/>
    <w:rsid w:val="004B3039"/>
    <w:rsid w:val="004C57B2"/>
    <w:rsid w:val="004D2DF6"/>
    <w:rsid w:val="004D5F2C"/>
    <w:rsid w:val="004E085C"/>
    <w:rsid w:val="004E374D"/>
    <w:rsid w:val="004F3A61"/>
    <w:rsid w:val="004F5075"/>
    <w:rsid w:val="00505BEC"/>
    <w:rsid w:val="00512146"/>
    <w:rsid w:val="00512F12"/>
    <w:rsid w:val="0056015D"/>
    <w:rsid w:val="00571251"/>
    <w:rsid w:val="00571A93"/>
    <w:rsid w:val="0058282A"/>
    <w:rsid w:val="00584A88"/>
    <w:rsid w:val="00594C7B"/>
    <w:rsid w:val="00595F16"/>
    <w:rsid w:val="0059614E"/>
    <w:rsid w:val="005A525A"/>
    <w:rsid w:val="005A58B5"/>
    <w:rsid w:val="005A63AC"/>
    <w:rsid w:val="005B2E75"/>
    <w:rsid w:val="005B5278"/>
    <w:rsid w:val="005C4607"/>
    <w:rsid w:val="005C5D9A"/>
    <w:rsid w:val="005C7414"/>
    <w:rsid w:val="005D00DA"/>
    <w:rsid w:val="005D4133"/>
    <w:rsid w:val="005D48B1"/>
    <w:rsid w:val="005D7A29"/>
    <w:rsid w:val="005E213A"/>
    <w:rsid w:val="005E51A6"/>
    <w:rsid w:val="005F4D55"/>
    <w:rsid w:val="00603154"/>
    <w:rsid w:val="00606335"/>
    <w:rsid w:val="006102BD"/>
    <w:rsid w:val="00610D7D"/>
    <w:rsid w:val="00613811"/>
    <w:rsid w:val="0062253A"/>
    <w:rsid w:val="006269B9"/>
    <w:rsid w:val="00630EE5"/>
    <w:rsid w:val="00637ABE"/>
    <w:rsid w:val="0064121A"/>
    <w:rsid w:val="00642168"/>
    <w:rsid w:val="00673B8B"/>
    <w:rsid w:val="00683C80"/>
    <w:rsid w:val="006933F5"/>
    <w:rsid w:val="006939E9"/>
    <w:rsid w:val="006945FF"/>
    <w:rsid w:val="006A21A9"/>
    <w:rsid w:val="006A2D46"/>
    <w:rsid w:val="006A30BD"/>
    <w:rsid w:val="006A5926"/>
    <w:rsid w:val="006A59A3"/>
    <w:rsid w:val="006B07A7"/>
    <w:rsid w:val="006D7EB5"/>
    <w:rsid w:val="006E4969"/>
    <w:rsid w:val="006E5643"/>
    <w:rsid w:val="006F4351"/>
    <w:rsid w:val="006F5DC9"/>
    <w:rsid w:val="00704BFA"/>
    <w:rsid w:val="00704EC2"/>
    <w:rsid w:val="00715F07"/>
    <w:rsid w:val="00723A4D"/>
    <w:rsid w:val="007331CB"/>
    <w:rsid w:val="00736D19"/>
    <w:rsid w:val="00775896"/>
    <w:rsid w:val="00780B83"/>
    <w:rsid w:val="00781E86"/>
    <w:rsid w:val="00793DB8"/>
    <w:rsid w:val="007A0B11"/>
    <w:rsid w:val="007A693A"/>
    <w:rsid w:val="007A70FD"/>
    <w:rsid w:val="007D2C9F"/>
    <w:rsid w:val="007D3E50"/>
    <w:rsid w:val="007D782D"/>
    <w:rsid w:val="007E6268"/>
    <w:rsid w:val="008025B7"/>
    <w:rsid w:val="00830892"/>
    <w:rsid w:val="00835AC2"/>
    <w:rsid w:val="00840E45"/>
    <w:rsid w:val="008552A2"/>
    <w:rsid w:val="00857116"/>
    <w:rsid w:val="00857E92"/>
    <w:rsid w:val="0086712C"/>
    <w:rsid w:val="00871859"/>
    <w:rsid w:val="00882F8A"/>
    <w:rsid w:val="00887F71"/>
    <w:rsid w:val="00890376"/>
    <w:rsid w:val="00893AAB"/>
    <w:rsid w:val="008A0323"/>
    <w:rsid w:val="008A503E"/>
    <w:rsid w:val="008A57F8"/>
    <w:rsid w:val="008A64B3"/>
    <w:rsid w:val="008B7D1D"/>
    <w:rsid w:val="008C5057"/>
    <w:rsid w:val="008C68AA"/>
    <w:rsid w:val="008E3787"/>
    <w:rsid w:val="00916B4D"/>
    <w:rsid w:val="0091751D"/>
    <w:rsid w:val="0092069C"/>
    <w:rsid w:val="009304D1"/>
    <w:rsid w:val="00933967"/>
    <w:rsid w:val="0093587F"/>
    <w:rsid w:val="00943DC2"/>
    <w:rsid w:val="00945C5F"/>
    <w:rsid w:val="00951A62"/>
    <w:rsid w:val="00960E24"/>
    <w:rsid w:val="009716F9"/>
    <w:rsid w:val="00987909"/>
    <w:rsid w:val="00995E94"/>
    <w:rsid w:val="009A0A5C"/>
    <w:rsid w:val="009A3656"/>
    <w:rsid w:val="009C67D7"/>
    <w:rsid w:val="009D66D9"/>
    <w:rsid w:val="009E3927"/>
    <w:rsid w:val="009E67C9"/>
    <w:rsid w:val="009F7964"/>
    <w:rsid w:val="00A0579D"/>
    <w:rsid w:val="00A158CF"/>
    <w:rsid w:val="00A2501C"/>
    <w:rsid w:val="00A311CE"/>
    <w:rsid w:val="00A377E5"/>
    <w:rsid w:val="00A46207"/>
    <w:rsid w:val="00A52F51"/>
    <w:rsid w:val="00A5519F"/>
    <w:rsid w:val="00A55686"/>
    <w:rsid w:val="00A81598"/>
    <w:rsid w:val="00A944C4"/>
    <w:rsid w:val="00A948EB"/>
    <w:rsid w:val="00AB1F3E"/>
    <w:rsid w:val="00AE4E89"/>
    <w:rsid w:val="00AF3B4E"/>
    <w:rsid w:val="00B0367D"/>
    <w:rsid w:val="00B25A37"/>
    <w:rsid w:val="00B3030F"/>
    <w:rsid w:val="00B41E97"/>
    <w:rsid w:val="00B4227A"/>
    <w:rsid w:val="00B54B64"/>
    <w:rsid w:val="00B81A2F"/>
    <w:rsid w:val="00B83E2D"/>
    <w:rsid w:val="00B84B31"/>
    <w:rsid w:val="00BA4EB3"/>
    <w:rsid w:val="00BB5271"/>
    <w:rsid w:val="00BC3AAB"/>
    <w:rsid w:val="00BE7C8F"/>
    <w:rsid w:val="00BF50CE"/>
    <w:rsid w:val="00BF7CC6"/>
    <w:rsid w:val="00C05A6E"/>
    <w:rsid w:val="00C20BDA"/>
    <w:rsid w:val="00C347CE"/>
    <w:rsid w:val="00C66EAD"/>
    <w:rsid w:val="00CA18A4"/>
    <w:rsid w:val="00CA7BF5"/>
    <w:rsid w:val="00CC2200"/>
    <w:rsid w:val="00CC6E6B"/>
    <w:rsid w:val="00CE0E75"/>
    <w:rsid w:val="00CE327D"/>
    <w:rsid w:val="00CF20C6"/>
    <w:rsid w:val="00D0327B"/>
    <w:rsid w:val="00D21D32"/>
    <w:rsid w:val="00D33939"/>
    <w:rsid w:val="00D35BD5"/>
    <w:rsid w:val="00D46D27"/>
    <w:rsid w:val="00D53B09"/>
    <w:rsid w:val="00D5704E"/>
    <w:rsid w:val="00D95CE4"/>
    <w:rsid w:val="00DA59B5"/>
    <w:rsid w:val="00DA6F41"/>
    <w:rsid w:val="00DC121A"/>
    <w:rsid w:val="00DD1995"/>
    <w:rsid w:val="00DE58BE"/>
    <w:rsid w:val="00DF7F0F"/>
    <w:rsid w:val="00E077A2"/>
    <w:rsid w:val="00E24F5D"/>
    <w:rsid w:val="00E432A7"/>
    <w:rsid w:val="00E60C4B"/>
    <w:rsid w:val="00E82160"/>
    <w:rsid w:val="00E91FF2"/>
    <w:rsid w:val="00EB7647"/>
    <w:rsid w:val="00EB7C8F"/>
    <w:rsid w:val="00EC1136"/>
    <w:rsid w:val="00EC77CA"/>
    <w:rsid w:val="00EC7D16"/>
    <w:rsid w:val="00ED6C46"/>
    <w:rsid w:val="00EF56E8"/>
    <w:rsid w:val="00F001C5"/>
    <w:rsid w:val="00F35F5E"/>
    <w:rsid w:val="00F43916"/>
    <w:rsid w:val="00F56CDA"/>
    <w:rsid w:val="00F64136"/>
    <w:rsid w:val="00F65C43"/>
    <w:rsid w:val="00F75A48"/>
    <w:rsid w:val="00F85E5E"/>
    <w:rsid w:val="00F875D4"/>
    <w:rsid w:val="00FD5448"/>
    <w:rsid w:val="00FD59D5"/>
    <w:rsid w:val="00FD6160"/>
    <w:rsid w:val="00FF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27A0"/>
  <w15:chartTrackingRefBased/>
  <w15:docId w15:val="{B137753E-F303-4931-A400-6B3A209E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47"/>
  </w:style>
  <w:style w:type="paragraph" w:styleId="Heading1">
    <w:name w:val="heading 1"/>
    <w:basedOn w:val="Normal"/>
    <w:next w:val="Normal"/>
    <w:link w:val="Heading1Char"/>
    <w:uiPriority w:val="9"/>
    <w:qFormat/>
    <w:rsid w:val="00584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A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A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A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A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A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A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A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A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A88"/>
    <w:rPr>
      <w:rFonts w:eastAsiaTheme="majorEastAsia" w:cstheme="majorBidi"/>
      <w:color w:val="272727" w:themeColor="text1" w:themeTint="D8"/>
    </w:rPr>
  </w:style>
  <w:style w:type="paragraph" w:styleId="Title">
    <w:name w:val="Title"/>
    <w:basedOn w:val="Normal"/>
    <w:next w:val="Normal"/>
    <w:link w:val="TitleChar"/>
    <w:uiPriority w:val="10"/>
    <w:qFormat/>
    <w:rsid w:val="00584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A88"/>
    <w:pPr>
      <w:spacing w:before="160"/>
      <w:jc w:val="center"/>
    </w:pPr>
    <w:rPr>
      <w:i/>
      <w:iCs/>
      <w:color w:val="404040" w:themeColor="text1" w:themeTint="BF"/>
    </w:rPr>
  </w:style>
  <w:style w:type="character" w:customStyle="1" w:styleId="QuoteChar">
    <w:name w:val="Quote Char"/>
    <w:basedOn w:val="DefaultParagraphFont"/>
    <w:link w:val="Quote"/>
    <w:uiPriority w:val="29"/>
    <w:rsid w:val="00584A88"/>
    <w:rPr>
      <w:i/>
      <w:iCs/>
      <w:color w:val="404040" w:themeColor="text1" w:themeTint="BF"/>
    </w:rPr>
  </w:style>
  <w:style w:type="paragraph" w:styleId="ListParagraph">
    <w:name w:val="List Paragraph"/>
    <w:basedOn w:val="Normal"/>
    <w:uiPriority w:val="34"/>
    <w:qFormat/>
    <w:rsid w:val="00584A88"/>
    <w:pPr>
      <w:ind w:left="720"/>
      <w:contextualSpacing/>
    </w:pPr>
  </w:style>
  <w:style w:type="character" w:styleId="IntenseEmphasis">
    <w:name w:val="Intense Emphasis"/>
    <w:basedOn w:val="DefaultParagraphFont"/>
    <w:uiPriority w:val="21"/>
    <w:qFormat/>
    <w:rsid w:val="00584A88"/>
    <w:rPr>
      <w:i/>
      <w:iCs/>
      <w:color w:val="2F5496" w:themeColor="accent1" w:themeShade="BF"/>
    </w:rPr>
  </w:style>
  <w:style w:type="paragraph" w:styleId="IntenseQuote">
    <w:name w:val="Intense Quote"/>
    <w:basedOn w:val="Normal"/>
    <w:next w:val="Normal"/>
    <w:link w:val="IntenseQuoteChar"/>
    <w:uiPriority w:val="30"/>
    <w:qFormat/>
    <w:rsid w:val="00584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A88"/>
    <w:rPr>
      <w:i/>
      <w:iCs/>
      <w:color w:val="2F5496" w:themeColor="accent1" w:themeShade="BF"/>
    </w:rPr>
  </w:style>
  <w:style w:type="character" w:styleId="IntenseReference">
    <w:name w:val="Intense Reference"/>
    <w:basedOn w:val="DefaultParagraphFont"/>
    <w:uiPriority w:val="32"/>
    <w:qFormat/>
    <w:rsid w:val="00584A88"/>
    <w:rPr>
      <w:b/>
      <w:bCs/>
      <w:smallCaps/>
      <w:color w:val="2F5496" w:themeColor="accent1" w:themeShade="BF"/>
      <w:spacing w:val="5"/>
    </w:rPr>
  </w:style>
  <w:style w:type="table" w:styleId="TableGrid">
    <w:name w:val="Table Grid"/>
    <w:basedOn w:val="TableNormal"/>
    <w:uiPriority w:val="39"/>
    <w:rsid w:val="0058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68AA"/>
    <w:pPr>
      <w:spacing w:after="0" w:line="240" w:lineRule="auto"/>
    </w:pPr>
  </w:style>
  <w:style w:type="character" w:styleId="CommentReference">
    <w:name w:val="annotation reference"/>
    <w:basedOn w:val="DefaultParagraphFont"/>
    <w:uiPriority w:val="99"/>
    <w:semiHidden/>
    <w:unhideWhenUsed/>
    <w:rsid w:val="00253683"/>
    <w:rPr>
      <w:sz w:val="16"/>
      <w:szCs w:val="16"/>
    </w:rPr>
  </w:style>
  <w:style w:type="paragraph" w:styleId="CommentText">
    <w:name w:val="annotation text"/>
    <w:basedOn w:val="Normal"/>
    <w:link w:val="CommentTextChar"/>
    <w:uiPriority w:val="99"/>
    <w:unhideWhenUsed/>
    <w:rsid w:val="00253683"/>
    <w:pPr>
      <w:spacing w:line="240" w:lineRule="auto"/>
    </w:pPr>
    <w:rPr>
      <w:sz w:val="20"/>
      <w:szCs w:val="20"/>
    </w:rPr>
  </w:style>
  <w:style w:type="character" w:customStyle="1" w:styleId="CommentTextChar">
    <w:name w:val="Comment Text Char"/>
    <w:basedOn w:val="DefaultParagraphFont"/>
    <w:link w:val="CommentText"/>
    <w:uiPriority w:val="99"/>
    <w:rsid w:val="00253683"/>
    <w:rPr>
      <w:sz w:val="20"/>
      <w:szCs w:val="20"/>
    </w:rPr>
  </w:style>
  <w:style w:type="paragraph" w:styleId="CommentSubject">
    <w:name w:val="annotation subject"/>
    <w:basedOn w:val="CommentText"/>
    <w:next w:val="CommentText"/>
    <w:link w:val="CommentSubjectChar"/>
    <w:uiPriority w:val="99"/>
    <w:semiHidden/>
    <w:unhideWhenUsed/>
    <w:rsid w:val="00253683"/>
    <w:rPr>
      <w:b/>
      <w:bCs/>
    </w:rPr>
  </w:style>
  <w:style w:type="character" w:customStyle="1" w:styleId="CommentSubjectChar">
    <w:name w:val="Comment Subject Char"/>
    <w:basedOn w:val="CommentTextChar"/>
    <w:link w:val="CommentSubject"/>
    <w:uiPriority w:val="99"/>
    <w:semiHidden/>
    <w:rsid w:val="00253683"/>
    <w:rPr>
      <w:b/>
      <w:bCs/>
      <w:sz w:val="20"/>
      <w:szCs w:val="20"/>
    </w:rPr>
  </w:style>
  <w:style w:type="paragraph" w:styleId="FootnoteText">
    <w:name w:val="footnote text"/>
    <w:basedOn w:val="Normal"/>
    <w:link w:val="FootnoteTextChar"/>
    <w:uiPriority w:val="99"/>
    <w:semiHidden/>
    <w:unhideWhenUsed/>
    <w:rsid w:val="00E91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FF2"/>
    <w:rPr>
      <w:sz w:val="20"/>
      <w:szCs w:val="20"/>
    </w:rPr>
  </w:style>
  <w:style w:type="character" w:styleId="FootnoteReference">
    <w:name w:val="footnote reference"/>
    <w:basedOn w:val="DefaultParagraphFont"/>
    <w:uiPriority w:val="99"/>
    <w:unhideWhenUsed/>
    <w:rsid w:val="00E91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31B5C-1F0E-4EB2-8018-AA5721E6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Rev. Anthony</dc:creator>
  <cp:keywords/>
  <dc:description/>
  <cp:lastModifiedBy>Campbell, Pat</cp:lastModifiedBy>
  <cp:revision>2</cp:revision>
  <dcterms:created xsi:type="dcterms:W3CDTF">2026-01-12T15:28:00Z</dcterms:created>
  <dcterms:modified xsi:type="dcterms:W3CDTF">2026-01-12T15:28:00Z</dcterms:modified>
</cp:coreProperties>
</file>